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Content>
        <w:p w14:paraId="00777748" w14:textId="58F5C308" w:rsidR="00A42BFF" w:rsidRPr="00C21566" w:rsidRDefault="00C21566" w:rsidP="00A42BFF">
          <w:pPr>
            <w:jc w:val="left"/>
            <w:rPr>
              <w:b/>
              <w:bCs/>
              <w:i/>
              <w:iCs/>
              <w:color w:val="FFFFFF" w:themeColor="background1"/>
              <w:szCs w:val="28"/>
              <w:lang w:eastAsia="fr-FR"/>
            </w:rPr>
          </w:pPr>
          <w:r w:rsidRPr="00C21566">
            <w:rPr>
              <w:b/>
              <w:bCs/>
              <w:i/>
              <w:iCs/>
              <w:noProof/>
              <w:color w:val="FFFFFF" w:themeColor="background1"/>
              <w:szCs w:val="28"/>
              <w:lang w:eastAsia="fr-FR"/>
              <w14:ligatures w14:val="standardContextual"/>
            </w:rPr>
            <mc:AlternateContent>
              <mc:Choice Requires="wps">
                <w:drawing>
                  <wp:anchor distT="0" distB="0" distL="114300" distR="114300" simplePos="0" relativeHeight="251659264" behindDoc="1" locked="0" layoutInCell="1" allowOverlap="1" wp14:anchorId="6747F653" wp14:editId="6152088D">
                    <wp:simplePos x="0" y="0"/>
                    <wp:positionH relativeFrom="column">
                      <wp:posOffset>-895350</wp:posOffset>
                    </wp:positionH>
                    <wp:positionV relativeFrom="paragraph">
                      <wp:posOffset>-914400</wp:posOffset>
                    </wp:positionV>
                    <wp:extent cx="15087600" cy="10687050"/>
                    <wp:effectExtent l="0" t="0" r="19050" b="19050"/>
                    <wp:wrapNone/>
                    <wp:docPr id="1447026257" name="Rectangle 4"/>
                    <wp:cNvGraphicFramePr/>
                    <a:graphic xmlns:a="http://schemas.openxmlformats.org/drawingml/2006/main">
                      <a:graphicData uri="http://schemas.microsoft.com/office/word/2010/wordprocessingShape">
                        <wps:wsp>
                          <wps:cNvSpPr/>
                          <wps:spPr>
                            <a:xfrm>
                              <a:off x="0" y="0"/>
                              <a:ext cx="15087600" cy="1068705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3725D6" id="Rectangle 4" o:spid="_x0000_s1026" style="position:absolute;margin-left:-70.5pt;margin-top:-1in;width:1188pt;height:841.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" fillcolor="#2f5496 [2404]" strokecolor="#09101d [484]" strokeweight="1pt"/>
                </w:pict>
              </mc:Fallback>
            </mc:AlternateContent>
          </w:r>
          <w:r w:rsidR="00A42BFF" w:rsidRPr="00C21566">
            <w:rPr>
              <w:b/>
              <w:bCs/>
              <w:i/>
              <w:iCs/>
              <w:color w:val="FFFFFF" w:themeColor="background1"/>
              <w:szCs w:val="28"/>
              <w:lang w:eastAsia="fr-FR"/>
            </w:rPr>
            <w:t>Module 1 : Audit de la situation juridique des personnes et des biens et stratégies patrimoniales civiles</w:t>
          </w:r>
        </w:p>
        <w:p w14:paraId="0227C586" w14:textId="11333EFD" w:rsidR="00A42BFF" w:rsidRPr="00C21566" w:rsidRDefault="00A42BFF" w:rsidP="00A42BFF">
          <w:pPr>
            <w:jc w:val="left"/>
            <w:rPr>
              <w:b/>
              <w:bCs/>
              <w:i/>
              <w:iCs/>
              <w:color w:val="FFFFFF" w:themeColor="background1"/>
              <w:szCs w:val="28"/>
              <w:lang w:eastAsia="fr-FR"/>
            </w:rPr>
          </w:pPr>
          <w:r w:rsidRPr="00C21566">
            <w:rPr>
              <w:b/>
              <w:bCs/>
              <w:i/>
              <w:iCs/>
              <w:color w:val="FFFFFF" w:themeColor="background1"/>
              <w:szCs w:val="28"/>
              <w:lang w:eastAsia="fr-FR"/>
            </w:rPr>
            <w:t xml:space="preserve">Leçon </w:t>
          </w:r>
          <w:r w:rsidR="009D49E4">
            <w:rPr>
              <w:b/>
              <w:bCs/>
              <w:i/>
              <w:iCs/>
              <w:color w:val="FFFFFF" w:themeColor="background1"/>
              <w:szCs w:val="28"/>
              <w:lang w:eastAsia="fr-FR"/>
            </w:rPr>
            <w:t>3</w:t>
          </w:r>
          <w:r w:rsidRPr="00C21566">
            <w:rPr>
              <w:b/>
              <w:bCs/>
              <w:i/>
              <w:iCs/>
              <w:color w:val="FFFFFF" w:themeColor="background1"/>
              <w:szCs w:val="28"/>
              <w:lang w:eastAsia="fr-FR"/>
            </w:rPr>
            <w:t xml:space="preserve"> : </w:t>
          </w:r>
          <w:r w:rsidR="009D49E4">
            <w:rPr>
              <w:b/>
              <w:bCs/>
              <w:i/>
              <w:iCs/>
              <w:color w:val="FFFFFF" w:themeColor="background1"/>
              <w:szCs w:val="28"/>
              <w:lang w:eastAsia="fr-FR"/>
            </w:rPr>
            <w:t>Aspects patrimoniaux d</w:t>
          </w:r>
          <w:r w:rsidRPr="00C21566">
            <w:rPr>
              <w:b/>
              <w:bCs/>
              <w:i/>
              <w:iCs/>
              <w:color w:val="FFFFFF" w:themeColor="background1"/>
              <w:szCs w:val="28"/>
              <w:lang w:eastAsia="fr-FR"/>
            </w:rPr>
            <w:t xml:space="preserve">es modes de conjugalité́ et </w:t>
          </w:r>
          <w:r w:rsidR="009D49E4">
            <w:rPr>
              <w:b/>
              <w:bCs/>
              <w:i/>
              <w:iCs/>
              <w:color w:val="FFFFFF" w:themeColor="background1"/>
              <w:szCs w:val="28"/>
              <w:lang w:eastAsia="fr-FR"/>
            </w:rPr>
            <w:t>de l’adoption</w:t>
          </w:r>
        </w:p>
        <w:p w14:paraId="26D32473" w14:textId="77777777" w:rsidR="00A42BFF" w:rsidRPr="00C21566" w:rsidRDefault="00A42BFF" w:rsidP="00A42BFF">
          <w:pPr>
            <w:jc w:val="left"/>
            <w:rPr>
              <w:b/>
              <w:bCs/>
              <w:color w:val="FFFFFF" w:themeColor="background1"/>
              <w:szCs w:val="28"/>
              <w:lang w:eastAsia="fr-FR"/>
            </w:rPr>
          </w:pPr>
        </w:p>
        <w:p w14:paraId="22F08213" w14:textId="77777777" w:rsidR="00A42BFF" w:rsidRPr="00C21566" w:rsidRDefault="00A42BFF" w:rsidP="00A42BFF">
          <w:pPr>
            <w:jc w:val="left"/>
            <w:rPr>
              <w:b/>
              <w:bCs/>
              <w:color w:val="FFFFFF" w:themeColor="background1"/>
              <w:szCs w:val="28"/>
              <w:lang w:eastAsia="fr-FR"/>
            </w:rPr>
          </w:pPr>
        </w:p>
        <w:p w14:paraId="4094CCA5" w14:textId="77777777" w:rsidR="00A42BFF" w:rsidRPr="00C21566" w:rsidRDefault="00A42BFF" w:rsidP="00A42BFF">
          <w:pPr>
            <w:jc w:val="left"/>
            <w:rPr>
              <w:b/>
              <w:bCs/>
              <w:color w:val="FFFFFF" w:themeColor="background1"/>
              <w:szCs w:val="28"/>
              <w:lang w:eastAsia="fr-FR"/>
            </w:rPr>
          </w:pPr>
        </w:p>
        <w:p w14:paraId="4EABE1FC" w14:textId="77777777" w:rsidR="00A42BFF" w:rsidRPr="00C21566" w:rsidRDefault="00A42BFF" w:rsidP="00A42BFF">
          <w:pPr>
            <w:jc w:val="left"/>
            <w:rPr>
              <w:b/>
              <w:bCs/>
              <w:color w:val="FFFFFF" w:themeColor="background1"/>
              <w:szCs w:val="28"/>
              <w:lang w:eastAsia="fr-FR"/>
            </w:rPr>
          </w:pPr>
        </w:p>
        <w:p w14:paraId="0808A336" w14:textId="77777777" w:rsidR="00A42BFF" w:rsidRPr="00C21566" w:rsidRDefault="00A42BFF" w:rsidP="00A42BFF">
          <w:pPr>
            <w:jc w:val="left"/>
            <w:rPr>
              <w:b/>
              <w:bCs/>
              <w:color w:val="FFFFFF" w:themeColor="background1"/>
              <w:szCs w:val="28"/>
              <w:lang w:eastAsia="fr-FR"/>
            </w:rPr>
          </w:pPr>
        </w:p>
        <w:p w14:paraId="53832887" w14:textId="77777777" w:rsidR="00A42BFF" w:rsidRPr="00C21566" w:rsidRDefault="00A42BFF" w:rsidP="00A42BFF">
          <w:pPr>
            <w:jc w:val="left"/>
            <w:rPr>
              <w:b/>
              <w:bCs/>
              <w:color w:val="FFFFFF" w:themeColor="background1"/>
              <w:szCs w:val="28"/>
              <w:lang w:eastAsia="fr-FR"/>
            </w:rPr>
          </w:pPr>
        </w:p>
        <w:p w14:paraId="201FFF95" w14:textId="77777777" w:rsidR="00A42BFF" w:rsidRPr="00C21566" w:rsidRDefault="00A42BFF" w:rsidP="00A42BFF">
          <w:pPr>
            <w:jc w:val="left"/>
            <w:rPr>
              <w:b/>
              <w:bCs/>
              <w:color w:val="FFFFFF" w:themeColor="background1"/>
              <w:szCs w:val="28"/>
              <w:lang w:eastAsia="fr-FR"/>
            </w:rPr>
          </w:pPr>
        </w:p>
        <w:p w14:paraId="46912838" w14:textId="77777777" w:rsidR="00A42BFF" w:rsidRPr="00C21566" w:rsidRDefault="00A42BFF" w:rsidP="00A42BFF">
          <w:pPr>
            <w:jc w:val="left"/>
            <w:rPr>
              <w:b/>
              <w:bCs/>
              <w:color w:val="FFFFFF" w:themeColor="background1"/>
              <w:szCs w:val="28"/>
              <w:lang w:eastAsia="fr-FR"/>
            </w:rPr>
          </w:pPr>
        </w:p>
        <w:p w14:paraId="10404B99" w14:textId="274FE110" w:rsidR="00677448" w:rsidRDefault="00DF1CC4" w:rsidP="00A42BFF">
          <w:pPr>
            <w:jc w:val="left"/>
            <w:rPr>
              <w:lang w:eastAsia="fr-FR"/>
            </w:rPr>
          </w:pPr>
          <w:r w:rsidRPr="00DF1CC4">
            <w:rPr>
              <w:b/>
              <w:bCs/>
              <w:color w:val="FFFFFF" w:themeColor="background1"/>
              <w:sz w:val="60"/>
              <w:szCs w:val="60"/>
              <w:lang w:eastAsia="fr-FR"/>
            </w:rPr>
            <w:t>C</w:t>
          </w:r>
          <w:r>
            <w:rPr>
              <w:b/>
              <w:bCs/>
              <w:color w:val="FFFFFF" w:themeColor="background1"/>
              <w:sz w:val="60"/>
              <w:szCs w:val="60"/>
              <w:lang w:eastAsia="fr-FR"/>
            </w:rPr>
            <w:t xml:space="preserve">hapitre </w:t>
          </w:r>
          <w:r w:rsidRPr="00DF1CC4">
            <w:rPr>
              <w:b/>
              <w:bCs/>
              <w:color w:val="FFFFFF" w:themeColor="background1"/>
              <w:sz w:val="60"/>
              <w:szCs w:val="60"/>
              <w:lang w:eastAsia="fr-FR"/>
            </w:rPr>
            <w:t>5</w:t>
          </w:r>
          <w:r w:rsidR="000C3993">
            <w:rPr>
              <w:b/>
              <w:bCs/>
              <w:color w:val="FFFFFF" w:themeColor="background1"/>
              <w:sz w:val="60"/>
              <w:szCs w:val="60"/>
              <w:lang w:eastAsia="fr-FR"/>
            </w:rPr>
            <w:t xml:space="preserve"> : </w:t>
          </w:r>
          <w:r w:rsidRPr="00DF1CC4">
            <w:rPr>
              <w:b/>
              <w:bCs/>
              <w:color w:val="FFFFFF" w:themeColor="background1"/>
              <w:sz w:val="60"/>
              <w:szCs w:val="60"/>
              <w:lang w:eastAsia="fr-FR"/>
            </w:rPr>
            <w:t xml:space="preserve"> Régimes matrimoniaux et gestion du patrimoine</w:t>
          </w:r>
          <w:r w:rsidR="00677448">
            <w:rPr>
              <w:b/>
              <w:bCs/>
              <w:lang w:eastAsia="fr-FR"/>
            </w:rPr>
            <w:br w:type="page"/>
          </w:r>
        </w:p>
      </w:sdtContent>
    </w:sdt>
    <w:sdt>
      <w:sdtPr>
        <w:rPr>
          <w:rFonts w:ascii="Open Sans" w:eastAsiaTheme="minorHAnsi" w:hAnsi="Open Sans" w:cstheme="minorBidi"/>
          <w:color w:val="auto"/>
          <w:sz w:val="28"/>
          <w:szCs w:val="22"/>
          <w:lang w:eastAsia="en-US"/>
        </w:rPr>
        <w:id w:val="-140739227"/>
        <w:docPartObj>
          <w:docPartGallery w:val="Table of Contents"/>
          <w:docPartUnique/>
        </w:docPartObj>
      </w:sdtPr>
      <w:sdtEndPr>
        <w:rPr>
          <w:b/>
          <w:bCs/>
        </w:rPr>
      </w:sdtEndPr>
      <w:sdtContent>
        <w:p w14:paraId="4210A7B7" w14:textId="48839A98" w:rsidR="00C83690" w:rsidRDefault="00C83690">
          <w:pPr>
            <w:pStyle w:val="En-ttedetabledesmatires"/>
          </w:pPr>
          <w:r>
            <w:t>Table des matières</w:t>
          </w:r>
        </w:p>
        <w:p w14:paraId="1B767764" w14:textId="1CE890CA" w:rsidR="00C83690" w:rsidRDefault="00C83690">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r>
            <w:fldChar w:fldCharType="begin"/>
          </w:r>
          <w:r>
            <w:instrText xml:space="preserve"> TOC \o "1-3" \h \z \u </w:instrText>
          </w:r>
          <w:r>
            <w:fldChar w:fldCharType="separate"/>
          </w:r>
          <w:hyperlink w:anchor="_Toc185503755" w:history="1">
            <w:r w:rsidRPr="003A31A2">
              <w:rPr>
                <w:rStyle w:val="Lienhypertexte"/>
                <w:noProof/>
              </w:rPr>
              <w:t>I.</w:t>
            </w:r>
            <w:r>
              <w:rPr>
                <w:rFonts w:asciiTheme="minorHAnsi" w:eastAsiaTheme="minorEastAsia" w:hAnsiTheme="minorHAnsi"/>
                <w:noProof/>
                <w:kern w:val="2"/>
                <w:sz w:val="24"/>
                <w:szCs w:val="24"/>
                <w:lang w:val="en-US"/>
                <w14:ligatures w14:val="standardContextual"/>
              </w:rPr>
              <w:tab/>
            </w:r>
            <w:r w:rsidRPr="003A31A2">
              <w:rPr>
                <w:rStyle w:val="Lienhypertexte"/>
                <w:noProof/>
              </w:rPr>
              <w:t>Le régime primaire : statut impératif de base</w:t>
            </w:r>
            <w:r>
              <w:rPr>
                <w:noProof/>
                <w:webHidden/>
              </w:rPr>
              <w:tab/>
            </w:r>
            <w:r>
              <w:rPr>
                <w:noProof/>
                <w:webHidden/>
              </w:rPr>
              <w:fldChar w:fldCharType="begin"/>
            </w:r>
            <w:r>
              <w:rPr>
                <w:noProof/>
                <w:webHidden/>
              </w:rPr>
              <w:instrText xml:space="preserve"> PAGEREF _Toc185503755 \h </w:instrText>
            </w:r>
            <w:r>
              <w:rPr>
                <w:noProof/>
                <w:webHidden/>
              </w:rPr>
            </w:r>
            <w:r>
              <w:rPr>
                <w:noProof/>
                <w:webHidden/>
              </w:rPr>
              <w:fldChar w:fldCharType="separate"/>
            </w:r>
            <w:r w:rsidR="001E258E">
              <w:rPr>
                <w:noProof/>
                <w:webHidden/>
              </w:rPr>
              <w:t>2</w:t>
            </w:r>
            <w:r>
              <w:rPr>
                <w:noProof/>
                <w:webHidden/>
              </w:rPr>
              <w:fldChar w:fldCharType="end"/>
            </w:r>
          </w:hyperlink>
        </w:p>
        <w:p w14:paraId="2ACEE722" w14:textId="08A4A44D"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56" w:history="1">
            <w:r w:rsidRPr="003A31A2">
              <w:rPr>
                <w:rStyle w:val="Lienhypertexte"/>
                <w:noProof/>
              </w:rPr>
              <w:t>1.</w:t>
            </w:r>
            <w:r>
              <w:rPr>
                <w:rFonts w:asciiTheme="minorHAnsi" w:eastAsiaTheme="minorEastAsia" w:hAnsiTheme="minorHAnsi"/>
                <w:noProof/>
                <w:kern w:val="2"/>
                <w:sz w:val="24"/>
                <w:szCs w:val="24"/>
                <w:lang w:val="en-US"/>
                <w14:ligatures w14:val="standardContextual"/>
              </w:rPr>
              <w:tab/>
            </w:r>
            <w:r w:rsidRPr="003A31A2">
              <w:rPr>
                <w:rStyle w:val="Lienhypertexte"/>
                <w:noProof/>
              </w:rPr>
              <w:t>Présentation du régime primaire (ou statut impératif de base)</w:t>
            </w:r>
            <w:r>
              <w:rPr>
                <w:noProof/>
                <w:webHidden/>
              </w:rPr>
              <w:tab/>
            </w:r>
            <w:r>
              <w:rPr>
                <w:noProof/>
                <w:webHidden/>
              </w:rPr>
              <w:fldChar w:fldCharType="begin"/>
            </w:r>
            <w:r>
              <w:rPr>
                <w:noProof/>
                <w:webHidden/>
              </w:rPr>
              <w:instrText xml:space="preserve"> PAGEREF _Toc185503756 \h </w:instrText>
            </w:r>
            <w:r>
              <w:rPr>
                <w:noProof/>
                <w:webHidden/>
              </w:rPr>
            </w:r>
            <w:r>
              <w:rPr>
                <w:noProof/>
                <w:webHidden/>
              </w:rPr>
              <w:fldChar w:fldCharType="separate"/>
            </w:r>
            <w:r w:rsidR="001E258E">
              <w:rPr>
                <w:noProof/>
                <w:webHidden/>
              </w:rPr>
              <w:t>4</w:t>
            </w:r>
            <w:r>
              <w:rPr>
                <w:noProof/>
                <w:webHidden/>
              </w:rPr>
              <w:fldChar w:fldCharType="end"/>
            </w:r>
          </w:hyperlink>
        </w:p>
        <w:p w14:paraId="5E85D8D8" w14:textId="40A5FFAE"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57" w:history="1">
            <w:r w:rsidRPr="003A31A2">
              <w:rPr>
                <w:rStyle w:val="Lienhypertexte"/>
                <w:noProof/>
              </w:rPr>
              <w:t>2.</w:t>
            </w:r>
            <w:r>
              <w:rPr>
                <w:rFonts w:asciiTheme="minorHAnsi" w:eastAsiaTheme="minorEastAsia" w:hAnsiTheme="minorHAnsi"/>
                <w:noProof/>
                <w:kern w:val="2"/>
                <w:sz w:val="24"/>
                <w:szCs w:val="24"/>
                <w:lang w:val="en-US"/>
                <w14:ligatures w14:val="standardContextual"/>
              </w:rPr>
              <w:tab/>
            </w:r>
            <w:r w:rsidRPr="003A31A2">
              <w:rPr>
                <w:rStyle w:val="Lienhypertexte"/>
                <w:noProof/>
              </w:rPr>
              <w:t>Les règles du régime primaire (ou statut impératif de base)</w:t>
            </w:r>
            <w:r>
              <w:rPr>
                <w:noProof/>
                <w:webHidden/>
              </w:rPr>
              <w:tab/>
            </w:r>
            <w:r>
              <w:rPr>
                <w:noProof/>
                <w:webHidden/>
              </w:rPr>
              <w:fldChar w:fldCharType="begin"/>
            </w:r>
            <w:r>
              <w:rPr>
                <w:noProof/>
                <w:webHidden/>
              </w:rPr>
              <w:instrText xml:space="preserve"> PAGEREF _Toc185503757 \h </w:instrText>
            </w:r>
            <w:r>
              <w:rPr>
                <w:noProof/>
                <w:webHidden/>
              </w:rPr>
            </w:r>
            <w:r>
              <w:rPr>
                <w:noProof/>
                <w:webHidden/>
              </w:rPr>
              <w:fldChar w:fldCharType="separate"/>
            </w:r>
            <w:r w:rsidR="001E258E">
              <w:rPr>
                <w:noProof/>
                <w:webHidden/>
              </w:rPr>
              <w:t>4</w:t>
            </w:r>
            <w:r>
              <w:rPr>
                <w:noProof/>
                <w:webHidden/>
              </w:rPr>
              <w:fldChar w:fldCharType="end"/>
            </w:r>
          </w:hyperlink>
        </w:p>
        <w:p w14:paraId="4FDCB9F9" w14:textId="4E8C04D1"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58" w:history="1">
            <w:r w:rsidRPr="003A31A2">
              <w:rPr>
                <w:rStyle w:val="Lienhypertexte"/>
                <w:noProof/>
              </w:rPr>
              <w:t>3.</w:t>
            </w:r>
            <w:r>
              <w:rPr>
                <w:rFonts w:asciiTheme="minorHAnsi" w:eastAsiaTheme="minorEastAsia" w:hAnsiTheme="minorHAnsi"/>
                <w:noProof/>
                <w:kern w:val="2"/>
                <w:sz w:val="24"/>
                <w:szCs w:val="24"/>
                <w:lang w:val="en-US"/>
                <w14:ligatures w14:val="standardContextual"/>
              </w:rPr>
              <w:tab/>
            </w:r>
            <w:r w:rsidRPr="003A31A2">
              <w:rPr>
                <w:rStyle w:val="Lienhypertexte"/>
                <w:noProof/>
              </w:rPr>
              <w:t>L’indépendance des époux</w:t>
            </w:r>
            <w:r>
              <w:rPr>
                <w:noProof/>
                <w:webHidden/>
              </w:rPr>
              <w:tab/>
            </w:r>
            <w:r>
              <w:rPr>
                <w:noProof/>
                <w:webHidden/>
              </w:rPr>
              <w:fldChar w:fldCharType="begin"/>
            </w:r>
            <w:r>
              <w:rPr>
                <w:noProof/>
                <w:webHidden/>
              </w:rPr>
              <w:instrText xml:space="preserve"> PAGEREF _Toc185503758 \h </w:instrText>
            </w:r>
            <w:r>
              <w:rPr>
                <w:noProof/>
                <w:webHidden/>
              </w:rPr>
            </w:r>
            <w:r>
              <w:rPr>
                <w:noProof/>
                <w:webHidden/>
              </w:rPr>
              <w:fldChar w:fldCharType="separate"/>
            </w:r>
            <w:r w:rsidR="001E258E">
              <w:rPr>
                <w:noProof/>
                <w:webHidden/>
              </w:rPr>
              <w:t>6</w:t>
            </w:r>
            <w:r>
              <w:rPr>
                <w:noProof/>
                <w:webHidden/>
              </w:rPr>
              <w:fldChar w:fldCharType="end"/>
            </w:r>
          </w:hyperlink>
        </w:p>
        <w:p w14:paraId="61D767B0" w14:textId="131B6A1B" w:rsidR="00C83690" w:rsidRDefault="00C83690">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185503759" w:history="1">
            <w:r w:rsidRPr="003A31A2">
              <w:rPr>
                <w:rStyle w:val="Lienhypertexte"/>
                <w:noProof/>
              </w:rPr>
              <w:t>II.</w:t>
            </w:r>
            <w:r>
              <w:rPr>
                <w:rFonts w:asciiTheme="minorHAnsi" w:eastAsiaTheme="minorEastAsia" w:hAnsiTheme="minorHAnsi"/>
                <w:noProof/>
                <w:kern w:val="2"/>
                <w:sz w:val="24"/>
                <w:szCs w:val="24"/>
                <w:lang w:val="en-US"/>
                <w14:ligatures w14:val="standardContextual"/>
              </w:rPr>
              <w:tab/>
            </w:r>
            <w:r w:rsidRPr="003A31A2">
              <w:rPr>
                <w:rStyle w:val="Lienhypertexte"/>
                <w:noProof/>
              </w:rPr>
              <w:t>Le régime légal</w:t>
            </w:r>
            <w:r>
              <w:rPr>
                <w:noProof/>
                <w:webHidden/>
              </w:rPr>
              <w:tab/>
            </w:r>
            <w:r>
              <w:rPr>
                <w:noProof/>
                <w:webHidden/>
              </w:rPr>
              <w:fldChar w:fldCharType="begin"/>
            </w:r>
            <w:r>
              <w:rPr>
                <w:noProof/>
                <w:webHidden/>
              </w:rPr>
              <w:instrText xml:space="preserve"> PAGEREF _Toc185503759 \h </w:instrText>
            </w:r>
            <w:r>
              <w:rPr>
                <w:noProof/>
                <w:webHidden/>
              </w:rPr>
            </w:r>
            <w:r>
              <w:rPr>
                <w:noProof/>
                <w:webHidden/>
              </w:rPr>
              <w:fldChar w:fldCharType="separate"/>
            </w:r>
            <w:r w:rsidR="001E258E">
              <w:rPr>
                <w:noProof/>
                <w:webHidden/>
              </w:rPr>
              <w:t>7</w:t>
            </w:r>
            <w:r>
              <w:rPr>
                <w:noProof/>
                <w:webHidden/>
              </w:rPr>
              <w:fldChar w:fldCharType="end"/>
            </w:r>
          </w:hyperlink>
        </w:p>
        <w:p w14:paraId="1FB1A9CD" w14:textId="41FE8BCB"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60" w:history="1">
            <w:r w:rsidRPr="003A31A2">
              <w:rPr>
                <w:rStyle w:val="Lienhypertexte"/>
                <w:noProof/>
              </w:rPr>
              <w:t>4.</w:t>
            </w:r>
            <w:r>
              <w:rPr>
                <w:rFonts w:asciiTheme="minorHAnsi" w:eastAsiaTheme="minorEastAsia" w:hAnsiTheme="minorHAnsi"/>
                <w:noProof/>
                <w:kern w:val="2"/>
                <w:sz w:val="24"/>
                <w:szCs w:val="24"/>
                <w:lang w:val="en-US"/>
                <w14:ligatures w14:val="standardContextual"/>
              </w:rPr>
              <w:tab/>
            </w:r>
            <w:r w:rsidRPr="003A31A2">
              <w:rPr>
                <w:rStyle w:val="Lienhypertexte"/>
                <w:noProof/>
              </w:rPr>
              <w:t>Qualification des biens dans le régime légal</w:t>
            </w:r>
            <w:r>
              <w:rPr>
                <w:noProof/>
                <w:webHidden/>
              </w:rPr>
              <w:tab/>
            </w:r>
            <w:r>
              <w:rPr>
                <w:noProof/>
                <w:webHidden/>
              </w:rPr>
              <w:fldChar w:fldCharType="begin"/>
            </w:r>
            <w:r>
              <w:rPr>
                <w:noProof/>
                <w:webHidden/>
              </w:rPr>
              <w:instrText xml:space="preserve"> PAGEREF _Toc185503760 \h </w:instrText>
            </w:r>
            <w:r>
              <w:rPr>
                <w:noProof/>
                <w:webHidden/>
              </w:rPr>
            </w:r>
            <w:r>
              <w:rPr>
                <w:noProof/>
                <w:webHidden/>
              </w:rPr>
              <w:fldChar w:fldCharType="separate"/>
            </w:r>
            <w:r w:rsidR="001E258E">
              <w:rPr>
                <w:noProof/>
                <w:webHidden/>
              </w:rPr>
              <w:t>9</w:t>
            </w:r>
            <w:r>
              <w:rPr>
                <w:noProof/>
                <w:webHidden/>
              </w:rPr>
              <w:fldChar w:fldCharType="end"/>
            </w:r>
          </w:hyperlink>
        </w:p>
        <w:p w14:paraId="7DCBCF4C" w14:textId="57DB8871"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61" w:history="1">
            <w:r w:rsidRPr="003A31A2">
              <w:rPr>
                <w:rStyle w:val="Lienhypertexte"/>
                <w:noProof/>
              </w:rPr>
              <w:t>5.</w:t>
            </w:r>
            <w:r>
              <w:rPr>
                <w:rFonts w:asciiTheme="minorHAnsi" w:eastAsiaTheme="minorEastAsia" w:hAnsiTheme="minorHAnsi"/>
                <w:noProof/>
                <w:kern w:val="2"/>
                <w:sz w:val="24"/>
                <w:szCs w:val="24"/>
                <w:lang w:val="en-US"/>
                <w14:ligatures w14:val="standardContextual"/>
              </w:rPr>
              <w:tab/>
            </w:r>
            <w:r w:rsidRPr="003A31A2">
              <w:rPr>
                <w:rStyle w:val="Lienhypertexte"/>
                <w:noProof/>
              </w:rPr>
              <w:t>La théorie des récompenses</w:t>
            </w:r>
            <w:r>
              <w:rPr>
                <w:noProof/>
                <w:webHidden/>
              </w:rPr>
              <w:tab/>
            </w:r>
            <w:r>
              <w:rPr>
                <w:noProof/>
                <w:webHidden/>
              </w:rPr>
              <w:fldChar w:fldCharType="begin"/>
            </w:r>
            <w:r>
              <w:rPr>
                <w:noProof/>
                <w:webHidden/>
              </w:rPr>
              <w:instrText xml:space="preserve"> PAGEREF _Toc185503761 \h </w:instrText>
            </w:r>
            <w:r>
              <w:rPr>
                <w:noProof/>
                <w:webHidden/>
              </w:rPr>
            </w:r>
            <w:r>
              <w:rPr>
                <w:noProof/>
                <w:webHidden/>
              </w:rPr>
              <w:fldChar w:fldCharType="separate"/>
            </w:r>
            <w:r w:rsidR="001E258E">
              <w:rPr>
                <w:noProof/>
                <w:webHidden/>
              </w:rPr>
              <w:t>10</w:t>
            </w:r>
            <w:r>
              <w:rPr>
                <w:noProof/>
                <w:webHidden/>
              </w:rPr>
              <w:fldChar w:fldCharType="end"/>
            </w:r>
          </w:hyperlink>
        </w:p>
        <w:p w14:paraId="0EDC8ECC" w14:textId="66AD358D"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62" w:history="1">
            <w:r w:rsidRPr="003A31A2">
              <w:rPr>
                <w:rStyle w:val="Lienhypertexte"/>
                <w:noProof/>
              </w:rPr>
              <w:t>6.</w:t>
            </w:r>
            <w:r>
              <w:rPr>
                <w:rFonts w:asciiTheme="minorHAnsi" w:eastAsiaTheme="minorEastAsia" w:hAnsiTheme="minorHAnsi"/>
                <w:noProof/>
                <w:kern w:val="2"/>
                <w:sz w:val="24"/>
                <w:szCs w:val="24"/>
                <w:lang w:val="en-US"/>
                <w14:ligatures w14:val="standardContextual"/>
              </w:rPr>
              <w:tab/>
            </w:r>
            <w:r w:rsidRPr="003A31A2">
              <w:rPr>
                <w:rStyle w:val="Lienhypertexte"/>
                <w:noProof/>
              </w:rPr>
              <w:t>La gestion des patrimoines</w:t>
            </w:r>
            <w:r>
              <w:rPr>
                <w:noProof/>
                <w:webHidden/>
              </w:rPr>
              <w:tab/>
            </w:r>
            <w:r>
              <w:rPr>
                <w:noProof/>
                <w:webHidden/>
              </w:rPr>
              <w:fldChar w:fldCharType="begin"/>
            </w:r>
            <w:r>
              <w:rPr>
                <w:noProof/>
                <w:webHidden/>
              </w:rPr>
              <w:instrText xml:space="preserve"> PAGEREF _Toc185503762 \h </w:instrText>
            </w:r>
            <w:r>
              <w:rPr>
                <w:noProof/>
                <w:webHidden/>
              </w:rPr>
            </w:r>
            <w:r>
              <w:rPr>
                <w:noProof/>
                <w:webHidden/>
              </w:rPr>
              <w:fldChar w:fldCharType="separate"/>
            </w:r>
            <w:r w:rsidR="001E258E">
              <w:rPr>
                <w:noProof/>
                <w:webHidden/>
              </w:rPr>
              <w:t>10</w:t>
            </w:r>
            <w:r>
              <w:rPr>
                <w:noProof/>
                <w:webHidden/>
              </w:rPr>
              <w:fldChar w:fldCharType="end"/>
            </w:r>
          </w:hyperlink>
        </w:p>
        <w:p w14:paraId="3E5EE913" w14:textId="0DB461DD"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63" w:history="1">
            <w:r w:rsidRPr="003A31A2">
              <w:rPr>
                <w:rStyle w:val="Lienhypertexte"/>
                <w:noProof/>
              </w:rPr>
              <w:t>7.</w:t>
            </w:r>
            <w:r>
              <w:rPr>
                <w:rFonts w:asciiTheme="minorHAnsi" w:eastAsiaTheme="minorEastAsia" w:hAnsiTheme="minorHAnsi"/>
                <w:noProof/>
                <w:kern w:val="2"/>
                <w:sz w:val="24"/>
                <w:szCs w:val="24"/>
                <w:lang w:val="en-US"/>
                <w14:ligatures w14:val="standardContextual"/>
              </w:rPr>
              <w:tab/>
            </w:r>
            <w:r w:rsidRPr="003A31A2">
              <w:rPr>
                <w:rStyle w:val="Lienhypertexte"/>
                <w:noProof/>
              </w:rPr>
              <w:t>Les clauses d’emploi ou de remploi</w:t>
            </w:r>
            <w:r>
              <w:rPr>
                <w:noProof/>
                <w:webHidden/>
              </w:rPr>
              <w:tab/>
            </w:r>
            <w:r>
              <w:rPr>
                <w:noProof/>
                <w:webHidden/>
              </w:rPr>
              <w:fldChar w:fldCharType="begin"/>
            </w:r>
            <w:r>
              <w:rPr>
                <w:noProof/>
                <w:webHidden/>
              </w:rPr>
              <w:instrText xml:space="preserve"> PAGEREF _Toc185503763 \h </w:instrText>
            </w:r>
            <w:r>
              <w:rPr>
                <w:noProof/>
                <w:webHidden/>
              </w:rPr>
            </w:r>
            <w:r>
              <w:rPr>
                <w:noProof/>
                <w:webHidden/>
              </w:rPr>
              <w:fldChar w:fldCharType="separate"/>
            </w:r>
            <w:r w:rsidR="001E258E">
              <w:rPr>
                <w:noProof/>
                <w:webHidden/>
              </w:rPr>
              <w:t>11</w:t>
            </w:r>
            <w:r>
              <w:rPr>
                <w:noProof/>
                <w:webHidden/>
              </w:rPr>
              <w:fldChar w:fldCharType="end"/>
            </w:r>
          </w:hyperlink>
        </w:p>
        <w:p w14:paraId="5A2043E2" w14:textId="15685CA3" w:rsidR="00C83690" w:rsidRDefault="00C83690">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503764" w:history="1">
            <w:r w:rsidRPr="003A31A2">
              <w:rPr>
                <w:rStyle w:val="Lienhypertexte"/>
                <w:noProof/>
              </w:rPr>
              <w:t>III.</w:t>
            </w:r>
            <w:r>
              <w:rPr>
                <w:rFonts w:asciiTheme="minorHAnsi" w:eastAsiaTheme="minorEastAsia" w:hAnsiTheme="minorHAnsi"/>
                <w:noProof/>
                <w:kern w:val="2"/>
                <w:sz w:val="24"/>
                <w:szCs w:val="24"/>
                <w:lang w:val="en-US"/>
                <w14:ligatures w14:val="standardContextual"/>
              </w:rPr>
              <w:tab/>
            </w:r>
            <w:r w:rsidRPr="003A31A2">
              <w:rPr>
                <w:rStyle w:val="Lienhypertexte"/>
                <w:noProof/>
              </w:rPr>
              <w:t>Les régimes conventionnels</w:t>
            </w:r>
            <w:r>
              <w:rPr>
                <w:noProof/>
                <w:webHidden/>
              </w:rPr>
              <w:tab/>
            </w:r>
            <w:r>
              <w:rPr>
                <w:noProof/>
                <w:webHidden/>
              </w:rPr>
              <w:fldChar w:fldCharType="begin"/>
            </w:r>
            <w:r>
              <w:rPr>
                <w:noProof/>
                <w:webHidden/>
              </w:rPr>
              <w:instrText xml:space="preserve"> PAGEREF _Toc185503764 \h </w:instrText>
            </w:r>
            <w:r>
              <w:rPr>
                <w:noProof/>
                <w:webHidden/>
              </w:rPr>
            </w:r>
            <w:r>
              <w:rPr>
                <w:noProof/>
                <w:webHidden/>
              </w:rPr>
              <w:fldChar w:fldCharType="separate"/>
            </w:r>
            <w:r w:rsidR="001E258E">
              <w:rPr>
                <w:noProof/>
                <w:webHidden/>
              </w:rPr>
              <w:t>12</w:t>
            </w:r>
            <w:r>
              <w:rPr>
                <w:noProof/>
                <w:webHidden/>
              </w:rPr>
              <w:fldChar w:fldCharType="end"/>
            </w:r>
          </w:hyperlink>
        </w:p>
        <w:p w14:paraId="22D927F8" w14:textId="77E7437D"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65" w:history="1">
            <w:r w:rsidRPr="003A31A2">
              <w:rPr>
                <w:rStyle w:val="Lienhypertexte"/>
                <w:noProof/>
              </w:rPr>
              <w:t>1.</w:t>
            </w:r>
            <w:r>
              <w:rPr>
                <w:rFonts w:asciiTheme="minorHAnsi" w:eastAsiaTheme="minorEastAsia" w:hAnsiTheme="minorHAnsi"/>
                <w:noProof/>
                <w:kern w:val="2"/>
                <w:sz w:val="24"/>
                <w:szCs w:val="24"/>
                <w:lang w:val="en-US"/>
                <w14:ligatures w14:val="standardContextual"/>
              </w:rPr>
              <w:tab/>
            </w:r>
            <w:r w:rsidRPr="003A31A2">
              <w:rPr>
                <w:rStyle w:val="Lienhypertexte"/>
                <w:noProof/>
              </w:rPr>
              <w:t>Notion de régime conventionnel</w:t>
            </w:r>
            <w:r>
              <w:rPr>
                <w:noProof/>
                <w:webHidden/>
              </w:rPr>
              <w:tab/>
            </w:r>
            <w:r>
              <w:rPr>
                <w:noProof/>
                <w:webHidden/>
              </w:rPr>
              <w:fldChar w:fldCharType="begin"/>
            </w:r>
            <w:r>
              <w:rPr>
                <w:noProof/>
                <w:webHidden/>
              </w:rPr>
              <w:instrText xml:space="preserve"> PAGEREF _Toc185503765 \h </w:instrText>
            </w:r>
            <w:r>
              <w:rPr>
                <w:noProof/>
                <w:webHidden/>
              </w:rPr>
            </w:r>
            <w:r>
              <w:rPr>
                <w:noProof/>
                <w:webHidden/>
              </w:rPr>
              <w:fldChar w:fldCharType="separate"/>
            </w:r>
            <w:r w:rsidR="001E258E">
              <w:rPr>
                <w:noProof/>
                <w:webHidden/>
              </w:rPr>
              <w:t>14</w:t>
            </w:r>
            <w:r>
              <w:rPr>
                <w:noProof/>
                <w:webHidden/>
              </w:rPr>
              <w:fldChar w:fldCharType="end"/>
            </w:r>
          </w:hyperlink>
        </w:p>
        <w:p w14:paraId="7FDF1A06" w14:textId="08C5AACE"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66" w:history="1">
            <w:r w:rsidRPr="003A31A2">
              <w:rPr>
                <w:rStyle w:val="Lienhypertexte"/>
                <w:noProof/>
              </w:rPr>
              <w:t>2.</w:t>
            </w:r>
            <w:r>
              <w:rPr>
                <w:rFonts w:asciiTheme="minorHAnsi" w:eastAsiaTheme="minorEastAsia" w:hAnsiTheme="minorHAnsi"/>
                <w:noProof/>
                <w:kern w:val="2"/>
                <w:sz w:val="24"/>
                <w:szCs w:val="24"/>
                <w:lang w:val="en-US"/>
                <w14:ligatures w14:val="standardContextual"/>
              </w:rPr>
              <w:tab/>
            </w:r>
            <w:r w:rsidRPr="003A31A2">
              <w:rPr>
                <w:rStyle w:val="Lienhypertexte"/>
                <w:noProof/>
              </w:rPr>
              <w:t>Le régime de la séparation de biens</w:t>
            </w:r>
            <w:r>
              <w:rPr>
                <w:noProof/>
                <w:webHidden/>
              </w:rPr>
              <w:tab/>
            </w:r>
            <w:r>
              <w:rPr>
                <w:noProof/>
                <w:webHidden/>
              </w:rPr>
              <w:fldChar w:fldCharType="begin"/>
            </w:r>
            <w:r>
              <w:rPr>
                <w:noProof/>
                <w:webHidden/>
              </w:rPr>
              <w:instrText xml:space="preserve"> PAGEREF _Toc185503766 \h </w:instrText>
            </w:r>
            <w:r>
              <w:rPr>
                <w:noProof/>
                <w:webHidden/>
              </w:rPr>
            </w:r>
            <w:r>
              <w:rPr>
                <w:noProof/>
                <w:webHidden/>
              </w:rPr>
              <w:fldChar w:fldCharType="separate"/>
            </w:r>
            <w:r w:rsidR="001E258E">
              <w:rPr>
                <w:noProof/>
                <w:webHidden/>
              </w:rPr>
              <w:t>15</w:t>
            </w:r>
            <w:r>
              <w:rPr>
                <w:noProof/>
                <w:webHidden/>
              </w:rPr>
              <w:fldChar w:fldCharType="end"/>
            </w:r>
          </w:hyperlink>
        </w:p>
        <w:p w14:paraId="2CF65C94" w14:textId="18561DDC"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67" w:history="1">
            <w:r w:rsidRPr="003A31A2">
              <w:rPr>
                <w:rStyle w:val="Lienhypertexte"/>
                <w:noProof/>
              </w:rPr>
              <w:t>3.</w:t>
            </w:r>
            <w:r>
              <w:rPr>
                <w:rFonts w:asciiTheme="minorHAnsi" w:eastAsiaTheme="minorEastAsia" w:hAnsiTheme="minorHAnsi"/>
                <w:noProof/>
                <w:kern w:val="2"/>
                <w:sz w:val="24"/>
                <w:szCs w:val="24"/>
                <w:lang w:val="en-US"/>
                <w14:ligatures w14:val="standardContextual"/>
              </w:rPr>
              <w:tab/>
            </w:r>
            <w:r w:rsidRPr="003A31A2">
              <w:rPr>
                <w:rStyle w:val="Lienhypertexte"/>
                <w:noProof/>
              </w:rPr>
              <w:t>Le régime de la participation aux acquêts</w:t>
            </w:r>
            <w:r>
              <w:rPr>
                <w:noProof/>
                <w:webHidden/>
              </w:rPr>
              <w:tab/>
            </w:r>
            <w:r>
              <w:rPr>
                <w:noProof/>
                <w:webHidden/>
              </w:rPr>
              <w:fldChar w:fldCharType="begin"/>
            </w:r>
            <w:r>
              <w:rPr>
                <w:noProof/>
                <w:webHidden/>
              </w:rPr>
              <w:instrText xml:space="preserve"> PAGEREF _Toc185503767 \h </w:instrText>
            </w:r>
            <w:r>
              <w:rPr>
                <w:noProof/>
                <w:webHidden/>
              </w:rPr>
            </w:r>
            <w:r>
              <w:rPr>
                <w:noProof/>
                <w:webHidden/>
              </w:rPr>
              <w:fldChar w:fldCharType="separate"/>
            </w:r>
            <w:r w:rsidR="001E258E">
              <w:rPr>
                <w:noProof/>
                <w:webHidden/>
              </w:rPr>
              <w:t>16</w:t>
            </w:r>
            <w:r>
              <w:rPr>
                <w:noProof/>
                <w:webHidden/>
              </w:rPr>
              <w:fldChar w:fldCharType="end"/>
            </w:r>
          </w:hyperlink>
        </w:p>
        <w:p w14:paraId="024A721C" w14:textId="15686FBA"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68" w:history="1">
            <w:r w:rsidRPr="003A31A2">
              <w:rPr>
                <w:rStyle w:val="Lienhypertexte"/>
                <w:noProof/>
              </w:rPr>
              <w:t>4.</w:t>
            </w:r>
            <w:r>
              <w:rPr>
                <w:rFonts w:asciiTheme="minorHAnsi" w:eastAsiaTheme="minorEastAsia" w:hAnsiTheme="minorHAnsi"/>
                <w:noProof/>
                <w:kern w:val="2"/>
                <w:sz w:val="24"/>
                <w:szCs w:val="24"/>
                <w:lang w:val="en-US"/>
                <w14:ligatures w14:val="standardContextual"/>
              </w:rPr>
              <w:tab/>
            </w:r>
            <w:r w:rsidRPr="003A31A2">
              <w:rPr>
                <w:rStyle w:val="Lienhypertexte"/>
                <w:noProof/>
              </w:rPr>
              <w:t>Le régime de la communauté universelle</w:t>
            </w:r>
            <w:r>
              <w:rPr>
                <w:noProof/>
                <w:webHidden/>
              </w:rPr>
              <w:tab/>
            </w:r>
            <w:r>
              <w:rPr>
                <w:noProof/>
                <w:webHidden/>
              </w:rPr>
              <w:fldChar w:fldCharType="begin"/>
            </w:r>
            <w:r>
              <w:rPr>
                <w:noProof/>
                <w:webHidden/>
              </w:rPr>
              <w:instrText xml:space="preserve"> PAGEREF _Toc185503768 \h </w:instrText>
            </w:r>
            <w:r>
              <w:rPr>
                <w:noProof/>
                <w:webHidden/>
              </w:rPr>
            </w:r>
            <w:r>
              <w:rPr>
                <w:noProof/>
                <w:webHidden/>
              </w:rPr>
              <w:fldChar w:fldCharType="separate"/>
            </w:r>
            <w:r w:rsidR="001E258E">
              <w:rPr>
                <w:noProof/>
                <w:webHidden/>
              </w:rPr>
              <w:t>17</w:t>
            </w:r>
            <w:r>
              <w:rPr>
                <w:noProof/>
                <w:webHidden/>
              </w:rPr>
              <w:fldChar w:fldCharType="end"/>
            </w:r>
          </w:hyperlink>
        </w:p>
        <w:p w14:paraId="7D085590" w14:textId="3B98491D"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69" w:history="1">
            <w:r w:rsidRPr="003A31A2">
              <w:rPr>
                <w:rStyle w:val="Lienhypertexte"/>
                <w:noProof/>
              </w:rPr>
              <w:t>5.</w:t>
            </w:r>
            <w:r>
              <w:rPr>
                <w:rFonts w:asciiTheme="minorHAnsi" w:eastAsiaTheme="minorEastAsia" w:hAnsiTheme="minorHAnsi"/>
                <w:noProof/>
                <w:kern w:val="2"/>
                <w:sz w:val="24"/>
                <w:szCs w:val="24"/>
                <w:lang w:val="en-US"/>
                <w14:ligatures w14:val="standardContextual"/>
              </w:rPr>
              <w:tab/>
            </w:r>
            <w:r w:rsidRPr="003A31A2">
              <w:rPr>
                <w:rStyle w:val="Lienhypertexte"/>
                <w:noProof/>
              </w:rPr>
              <w:t>Régime de la communauté de meubles et acquêts</w:t>
            </w:r>
            <w:r>
              <w:rPr>
                <w:noProof/>
                <w:webHidden/>
              </w:rPr>
              <w:tab/>
            </w:r>
            <w:r>
              <w:rPr>
                <w:noProof/>
                <w:webHidden/>
              </w:rPr>
              <w:fldChar w:fldCharType="begin"/>
            </w:r>
            <w:r>
              <w:rPr>
                <w:noProof/>
                <w:webHidden/>
              </w:rPr>
              <w:instrText xml:space="preserve"> PAGEREF _Toc185503769 \h </w:instrText>
            </w:r>
            <w:r>
              <w:rPr>
                <w:noProof/>
                <w:webHidden/>
              </w:rPr>
            </w:r>
            <w:r>
              <w:rPr>
                <w:noProof/>
                <w:webHidden/>
              </w:rPr>
              <w:fldChar w:fldCharType="separate"/>
            </w:r>
            <w:r w:rsidR="001E258E">
              <w:rPr>
                <w:noProof/>
                <w:webHidden/>
              </w:rPr>
              <w:t>17</w:t>
            </w:r>
            <w:r>
              <w:rPr>
                <w:noProof/>
                <w:webHidden/>
              </w:rPr>
              <w:fldChar w:fldCharType="end"/>
            </w:r>
          </w:hyperlink>
        </w:p>
        <w:p w14:paraId="43C77AC3" w14:textId="2D25B095" w:rsidR="00C83690" w:rsidRDefault="00C83690">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503770" w:history="1">
            <w:r w:rsidRPr="003A31A2">
              <w:rPr>
                <w:rStyle w:val="Lienhypertexte"/>
                <w:noProof/>
              </w:rPr>
              <w:t>IV.</w:t>
            </w:r>
            <w:r>
              <w:rPr>
                <w:rFonts w:asciiTheme="minorHAnsi" w:eastAsiaTheme="minorEastAsia" w:hAnsiTheme="minorHAnsi"/>
                <w:noProof/>
                <w:kern w:val="2"/>
                <w:sz w:val="24"/>
                <w:szCs w:val="24"/>
                <w:lang w:val="en-US"/>
                <w14:ligatures w14:val="standardContextual"/>
              </w:rPr>
              <w:tab/>
            </w:r>
            <w:r w:rsidRPr="003A31A2">
              <w:rPr>
                <w:rStyle w:val="Lienhypertexte"/>
                <w:noProof/>
              </w:rPr>
              <w:t>L’extranéité en matière de mariage</w:t>
            </w:r>
            <w:r>
              <w:rPr>
                <w:noProof/>
                <w:webHidden/>
              </w:rPr>
              <w:tab/>
            </w:r>
            <w:r>
              <w:rPr>
                <w:noProof/>
                <w:webHidden/>
              </w:rPr>
              <w:fldChar w:fldCharType="begin"/>
            </w:r>
            <w:r>
              <w:rPr>
                <w:noProof/>
                <w:webHidden/>
              </w:rPr>
              <w:instrText xml:space="preserve"> PAGEREF _Toc185503770 \h </w:instrText>
            </w:r>
            <w:r>
              <w:rPr>
                <w:noProof/>
                <w:webHidden/>
              </w:rPr>
            </w:r>
            <w:r>
              <w:rPr>
                <w:noProof/>
                <w:webHidden/>
              </w:rPr>
              <w:fldChar w:fldCharType="separate"/>
            </w:r>
            <w:r w:rsidR="001E258E">
              <w:rPr>
                <w:noProof/>
                <w:webHidden/>
              </w:rPr>
              <w:t>18</w:t>
            </w:r>
            <w:r>
              <w:rPr>
                <w:noProof/>
                <w:webHidden/>
              </w:rPr>
              <w:fldChar w:fldCharType="end"/>
            </w:r>
          </w:hyperlink>
        </w:p>
        <w:p w14:paraId="56BD6893" w14:textId="444E4EDA"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71" w:history="1">
            <w:r w:rsidRPr="003A31A2">
              <w:rPr>
                <w:rStyle w:val="Lienhypertexte"/>
                <w:noProof/>
              </w:rPr>
              <w:t>1.</w:t>
            </w:r>
            <w:r>
              <w:rPr>
                <w:rFonts w:asciiTheme="minorHAnsi" w:eastAsiaTheme="minorEastAsia" w:hAnsiTheme="minorHAnsi"/>
                <w:noProof/>
                <w:kern w:val="2"/>
                <w:sz w:val="24"/>
                <w:szCs w:val="24"/>
                <w:lang w:val="en-US"/>
                <w14:ligatures w14:val="standardContextual"/>
              </w:rPr>
              <w:tab/>
            </w:r>
            <w:r w:rsidRPr="003A31A2">
              <w:rPr>
                <w:rStyle w:val="Lienhypertexte"/>
                <w:noProof/>
              </w:rPr>
              <w:t>En présence d’un contrat de mariage</w:t>
            </w:r>
            <w:r>
              <w:rPr>
                <w:noProof/>
                <w:webHidden/>
              </w:rPr>
              <w:tab/>
            </w:r>
            <w:r>
              <w:rPr>
                <w:noProof/>
                <w:webHidden/>
              </w:rPr>
              <w:fldChar w:fldCharType="begin"/>
            </w:r>
            <w:r>
              <w:rPr>
                <w:noProof/>
                <w:webHidden/>
              </w:rPr>
              <w:instrText xml:space="preserve"> PAGEREF _Toc185503771 \h </w:instrText>
            </w:r>
            <w:r>
              <w:rPr>
                <w:noProof/>
                <w:webHidden/>
              </w:rPr>
            </w:r>
            <w:r>
              <w:rPr>
                <w:noProof/>
                <w:webHidden/>
              </w:rPr>
              <w:fldChar w:fldCharType="separate"/>
            </w:r>
            <w:r w:rsidR="001E258E">
              <w:rPr>
                <w:noProof/>
                <w:webHidden/>
              </w:rPr>
              <w:t>20</w:t>
            </w:r>
            <w:r>
              <w:rPr>
                <w:noProof/>
                <w:webHidden/>
              </w:rPr>
              <w:fldChar w:fldCharType="end"/>
            </w:r>
          </w:hyperlink>
        </w:p>
        <w:p w14:paraId="3B61B229" w14:textId="618321A0"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72" w:history="1">
            <w:r w:rsidRPr="003A31A2">
              <w:rPr>
                <w:rStyle w:val="Lienhypertexte"/>
                <w:noProof/>
              </w:rPr>
              <w:t>2.</w:t>
            </w:r>
            <w:r>
              <w:rPr>
                <w:rFonts w:asciiTheme="minorHAnsi" w:eastAsiaTheme="minorEastAsia" w:hAnsiTheme="minorHAnsi"/>
                <w:noProof/>
                <w:kern w:val="2"/>
                <w:sz w:val="24"/>
                <w:szCs w:val="24"/>
                <w:lang w:val="en-US"/>
                <w14:ligatures w14:val="standardContextual"/>
              </w:rPr>
              <w:tab/>
            </w:r>
            <w:r w:rsidRPr="003A31A2">
              <w:rPr>
                <w:rStyle w:val="Lienhypertexte"/>
                <w:noProof/>
              </w:rPr>
              <w:t>En l’absence de contrat de mariage</w:t>
            </w:r>
            <w:r>
              <w:rPr>
                <w:noProof/>
                <w:webHidden/>
              </w:rPr>
              <w:tab/>
            </w:r>
            <w:r>
              <w:rPr>
                <w:noProof/>
                <w:webHidden/>
              </w:rPr>
              <w:fldChar w:fldCharType="begin"/>
            </w:r>
            <w:r>
              <w:rPr>
                <w:noProof/>
                <w:webHidden/>
              </w:rPr>
              <w:instrText xml:space="preserve"> PAGEREF _Toc185503772 \h </w:instrText>
            </w:r>
            <w:r>
              <w:rPr>
                <w:noProof/>
                <w:webHidden/>
              </w:rPr>
            </w:r>
            <w:r>
              <w:rPr>
                <w:noProof/>
                <w:webHidden/>
              </w:rPr>
              <w:fldChar w:fldCharType="separate"/>
            </w:r>
            <w:r w:rsidR="001E258E">
              <w:rPr>
                <w:noProof/>
                <w:webHidden/>
              </w:rPr>
              <w:t>20</w:t>
            </w:r>
            <w:r>
              <w:rPr>
                <w:noProof/>
                <w:webHidden/>
              </w:rPr>
              <w:fldChar w:fldCharType="end"/>
            </w:r>
          </w:hyperlink>
        </w:p>
        <w:p w14:paraId="2DFC91CF" w14:textId="71C570E5"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73" w:history="1">
            <w:r w:rsidRPr="003A31A2">
              <w:rPr>
                <w:rStyle w:val="Lienhypertexte"/>
                <w:noProof/>
              </w:rPr>
              <w:t>3.</w:t>
            </w:r>
            <w:r>
              <w:rPr>
                <w:rFonts w:asciiTheme="minorHAnsi" w:eastAsiaTheme="minorEastAsia" w:hAnsiTheme="minorHAnsi"/>
                <w:noProof/>
                <w:kern w:val="2"/>
                <w:sz w:val="24"/>
                <w:szCs w:val="24"/>
                <w:lang w:val="en-US"/>
                <w14:ligatures w14:val="standardContextual"/>
              </w:rPr>
              <w:tab/>
            </w:r>
            <w:r w:rsidRPr="003A31A2">
              <w:rPr>
                <w:rStyle w:val="Lienhypertexte"/>
                <w:noProof/>
              </w:rPr>
              <w:t>Changement de régime matrimonial</w:t>
            </w:r>
            <w:r>
              <w:rPr>
                <w:noProof/>
                <w:webHidden/>
              </w:rPr>
              <w:tab/>
            </w:r>
            <w:r>
              <w:rPr>
                <w:noProof/>
                <w:webHidden/>
              </w:rPr>
              <w:fldChar w:fldCharType="begin"/>
            </w:r>
            <w:r>
              <w:rPr>
                <w:noProof/>
                <w:webHidden/>
              </w:rPr>
              <w:instrText xml:space="preserve"> PAGEREF _Toc185503773 \h </w:instrText>
            </w:r>
            <w:r>
              <w:rPr>
                <w:noProof/>
                <w:webHidden/>
              </w:rPr>
            </w:r>
            <w:r>
              <w:rPr>
                <w:noProof/>
                <w:webHidden/>
              </w:rPr>
              <w:fldChar w:fldCharType="separate"/>
            </w:r>
            <w:r w:rsidR="001E258E">
              <w:rPr>
                <w:noProof/>
                <w:webHidden/>
              </w:rPr>
              <w:t>22</w:t>
            </w:r>
            <w:r>
              <w:rPr>
                <w:noProof/>
                <w:webHidden/>
              </w:rPr>
              <w:fldChar w:fldCharType="end"/>
            </w:r>
          </w:hyperlink>
        </w:p>
        <w:p w14:paraId="4D726D8B" w14:textId="256F7AD3" w:rsidR="00C83690" w:rsidRDefault="00C83690">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503774" w:history="1">
            <w:r w:rsidRPr="003A31A2">
              <w:rPr>
                <w:rStyle w:val="Lienhypertexte"/>
                <w:noProof/>
              </w:rPr>
              <w:t>V.</w:t>
            </w:r>
            <w:r>
              <w:rPr>
                <w:rFonts w:asciiTheme="minorHAnsi" w:eastAsiaTheme="minorEastAsia" w:hAnsiTheme="minorHAnsi"/>
                <w:noProof/>
                <w:kern w:val="2"/>
                <w:sz w:val="24"/>
                <w:szCs w:val="24"/>
                <w:lang w:val="en-US"/>
                <w14:ligatures w14:val="standardContextual"/>
              </w:rPr>
              <w:tab/>
            </w:r>
            <w:r w:rsidRPr="003A31A2">
              <w:rPr>
                <w:rStyle w:val="Lienhypertexte"/>
                <w:noProof/>
              </w:rPr>
              <w:t>Communauté et assurance-vie</w:t>
            </w:r>
            <w:r>
              <w:rPr>
                <w:noProof/>
                <w:webHidden/>
              </w:rPr>
              <w:tab/>
            </w:r>
            <w:r>
              <w:rPr>
                <w:noProof/>
                <w:webHidden/>
              </w:rPr>
              <w:fldChar w:fldCharType="begin"/>
            </w:r>
            <w:r>
              <w:rPr>
                <w:noProof/>
                <w:webHidden/>
              </w:rPr>
              <w:instrText xml:space="preserve"> PAGEREF _Toc185503774 \h </w:instrText>
            </w:r>
            <w:r>
              <w:rPr>
                <w:noProof/>
                <w:webHidden/>
              </w:rPr>
            </w:r>
            <w:r>
              <w:rPr>
                <w:noProof/>
                <w:webHidden/>
              </w:rPr>
              <w:fldChar w:fldCharType="separate"/>
            </w:r>
            <w:r w:rsidR="001E258E">
              <w:rPr>
                <w:noProof/>
                <w:webHidden/>
              </w:rPr>
              <w:t>24</w:t>
            </w:r>
            <w:r>
              <w:rPr>
                <w:noProof/>
                <w:webHidden/>
              </w:rPr>
              <w:fldChar w:fldCharType="end"/>
            </w:r>
          </w:hyperlink>
        </w:p>
        <w:p w14:paraId="39E141F1" w14:textId="49125394"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75" w:history="1">
            <w:r w:rsidRPr="003A31A2">
              <w:rPr>
                <w:rStyle w:val="Lienhypertexte"/>
                <w:noProof/>
              </w:rPr>
              <w:t>1.</w:t>
            </w:r>
            <w:r>
              <w:rPr>
                <w:rFonts w:asciiTheme="minorHAnsi" w:eastAsiaTheme="minorEastAsia" w:hAnsiTheme="minorHAnsi"/>
                <w:noProof/>
                <w:kern w:val="2"/>
                <w:sz w:val="24"/>
                <w:szCs w:val="24"/>
                <w:lang w:val="en-US"/>
                <w14:ligatures w14:val="standardContextual"/>
              </w:rPr>
              <w:tab/>
            </w:r>
            <w:r w:rsidRPr="003A31A2">
              <w:rPr>
                <w:rStyle w:val="Lienhypertexte"/>
                <w:noProof/>
              </w:rPr>
              <w:t>Contrat dénoué lors de la dissolution de la communauté</w:t>
            </w:r>
            <w:r>
              <w:rPr>
                <w:noProof/>
                <w:webHidden/>
              </w:rPr>
              <w:tab/>
            </w:r>
            <w:r>
              <w:rPr>
                <w:noProof/>
                <w:webHidden/>
              </w:rPr>
              <w:fldChar w:fldCharType="begin"/>
            </w:r>
            <w:r>
              <w:rPr>
                <w:noProof/>
                <w:webHidden/>
              </w:rPr>
              <w:instrText xml:space="preserve"> PAGEREF _Toc185503775 \h </w:instrText>
            </w:r>
            <w:r>
              <w:rPr>
                <w:noProof/>
                <w:webHidden/>
              </w:rPr>
            </w:r>
            <w:r>
              <w:rPr>
                <w:noProof/>
                <w:webHidden/>
              </w:rPr>
              <w:fldChar w:fldCharType="separate"/>
            </w:r>
            <w:r w:rsidR="001E258E">
              <w:rPr>
                <w:noProof/>
                <w:webHidden/>
              </w:rPr>
              <w:t>25</w:t>
            </w:r>
            <w:r>
              <w:rPr>
                <w:noProof/>
                <w:webHidden/>
              </w:rPr>
              <w:fldChar w:fldCharType="end"/>
            </w:r>
          </w:hyperlink>
        </w:p>
        <w:p w14:paraId="11AB893B" w14:textId="7DABA0D0" w:rsidR="00C83690" w:rsidRDefault="00C83690">
          <w:pPr>
            <w:pStyle w:val="TM3"/>
            <w:rPr>
              <w:rFonts w:asciiTheme="minorHAnsi" w:eastAsiaTheme="minorEastAsia" w:hAnsiTheme="minorHAnsi"/>
              <w:noProof/>
              <w:kern w:val="2"/>
              <w:sz w:val="24"/>
              <w:szCs w:val="24"/>
              <w:lang w:val="en-US"/>
              <w14:ligatures w14:val="standardContextual"/>
            </w:rPr>
          </w:pPr>
          <w:hyperlink w:anchor="_Toc185503776" w:history="1">
            <w:r w:rsidRPr="003A31A2">
              <w:rPr>
                <w:rStyle w:val="Lienhypertexte"/>
                <w:noProof/>
              </w:rPr>
              <w:t>2.</w:t>
            </w:r>
            <w:r>
              <w:rPr>
                <w:rFonts w:asciiTheme="minorHAnsi" w:eastAsiaTheme="minorEastAsia" w:hAnsiTheme="minorHAnsi"/>
                <w:noProof/>
                <w:kern w:val="2"/>
                <w:sz w:val="24"/>
                <w:szCs w:val="24"/>
                <w:lang w:val="en-US"/>
                <w14:ligatures w14:val="standardContextual"/>
              </w:rPr>
              <w:tab/>
            </w:r>
            <w:r w:rsidRPr="003A31A2">
              <w:rPr>
                <w:rStyle w:val="Lienhypertexte"/>
                <w:noProof/>
              </w:rPr>
              <w:t>Contrat non dénoué lors de la dissolution de la communauté</w:t>
            </w:r>
            <w:r>
              <w:rPr>
                <w:noProof/>
                <w:webHidden/>
              </w:rPr>
              <w:tab/>
            </w:r>
            <w:r>
              <w:rPr>
                <w:noProof/>
                <w:webHidden/>
              </w:rPr>
              <w:fldChar w:fldCharType="begin"/>
            </w:r>
            <w:r>
              <w:rPr>
                <w:noProof/>
                <w:webHidden/>
              </w:rPr>
              <w:instrText xml:space="preserve"> PAGEREF _Toc185503776 \h </w:instrText>
            </w:r>
            <w:r>
              <w:rPr>
                <w:noProof/>
                <w:webHidden/>
              </w:rPr>
            </w:r>
            <w:r>
              <w:rPr>
                <w:noProof/>
                <w:webHidden/>
              </w:rPr>
              <w:fldChar w:fldCharType="separate"/>
            </w:r>
            <w:r w:rsidR="001E258E">
              <w:rPr>
                <w:noProof/>
                <w:webHidden/>
              </w:rPr>
              <w:t>25</w:t>
            </w:r>
            <w:r>
              <w:rPr>
                <w:noProof/>
                <w:webHidden/>
              </w:rPr>
              <w:fldChar w:fldCharType="end"/>
            </w:r>
          </w:hyperlink>
        </w:p>
        <w:p w14:paraId="13FEEDCD" w14:textId="3D42D8CA" w:rsidR="00C83690" w:rsidRDefault="00C83690">
          <w:r>
            <w:rPr>
              <w:b/>
              <w:bCs/>
            </w:rPr>
            <w:fldChar w:fldCharType="end"/>
          </w:r>
        </w:p>
      </w:sdtContent>
    </w:sdt>
    <w:p w14:paraId="68C01837" w14:textId="77777777" w:rsidR="00B8067C" w:rsidRDefault="00B8067C"/>
    <w:p w14:paraId="46F02CB9" w14:textId="77777777" w:rsidR="00F22EC4" w:rsidRDefault="00B42117" w:rsidP="00F22EC4">
      <w:pPr>
        <w:rPr>
          <w:rFonts w:eastAsia="Times New Roman"/>
          <w:color w:val="2F5496" w:themeColor="accent1" w:themeShade="BF"/>
          <w:lang w:eastAsia="fr-FR"/>
        </w:rPr>
      </w:pPr>
      <w:r>
        <w:rPr>
          <w:rFonts w:eastAsia="Times New Roman"/>
          <w:color w:val="2F5496" w:themeColor="accent1" w:themeShade="BF"/>
          <w:lang w:eastAsia="fr-FR"/>
        </w:rPr>
        <w:br w:type="page"/>
      </w:r>
    </w:p>
    <w:p w14:paraId="560E63A3" w14:textId="41CCE281" w:rsidR="00F22EC4" w:rsidRDefault="00C21566" w:rsidP="00F22EC4">
      <w:pPr>
        <w:rPr>
          <w:rFonts w:eastAsia="Times New Roman"/>
          <w:color w:val="2F5496" w:themeColor="accent1" w:themeShade="BF"/>
          <w:lang w:eastAsia="fr-FR"/>
        </w:rPr>
      </w:pPr>
      <w:r>
        <w:rPr>
          <w:rFonts w:eastAsia="Times New Roman"/>
          <w:noProof/>
          <w:color w:val="2F5496" w:themeColor="accent1" w:themeShade="BF"/>
          <w:lang w:eastAsia="fr-FR"/>
          <w14:ligatures w14:val="standardContextual"/>
        </w:rPr>
        <w:lastRenderedPageBreak/>
        <mc:AlternateContent>
          <mc:Choice Requires="wps">
            <w:drawing>
              <wp:anchor distT="0" distB="0" distL="114300" distR="114300" simplePos="0" relativeHeight="251660288" behindDoc="1" locked="0" layoutInCell="1" allowOverlap="1" wp14:anchorId="6C1A58CF" wp14:editId="72F2ECD9">
                <wp:simplePos x="0" y="0"/>
                <wp:positionH relativeFrom="column">
                  <wp:posOffset>-895350</wp:posOffset>
                </wp:positionH>
                <wp:positionV relativeFrom="paragraph">
                  <wp:posOffset>-971550</wp:posOffset>
                </wp:positionV>
                <wp:extent cx="15278100" cy="10744200"/>
                <wp:effectExtent l="0" t="0" r="19050" b="19050"/>
                <wp:wrapNone/>
                <wp:docPr id="2141505749" name="Rectangle 5"/>
                <wp:cNvGraphicFramePr/>
                <a:graphic xmlns:a="http://schemas.openxmlformats.org/drawingml/2006/main">
                  <a:graphicData uri="http://schemas.microsoft.com/office/word/2010/wordprocessingShape">
                    <wps:wsp>
                      <wps:cNvSpPr/>
                      <wps:spPr>
                        <a:xfrm>
                          <a:off x="0" y="0"/>
                          <a:ext cx="15278100" cy="1074420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AD64FF1" id="Rectangle 5" o:spid="_x0000_s1026" style="position:absolute;margin-left:-70.5pt;margin-top:-76.5pt;width:1203pt;height:846pt;z-index:-251656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" fillcolor="#2f5496 [2404]" strokecolor="#09101d [484]" strokeweight="1pt"/>
            </w:pict>
          </mc:Fallback>
        </mc:AlternateContent>
      </w:r>
    </w:p>
    <w:p w14:paraId="0E190A2A" w14:textId="77777777" w:rsidR="00F22EC4" w:rsidRDefault="00F22EC4" w:rsidP="00F22EC4">
      <w:pPr>
        <w:rPr>
          <w:rFonts w:eastAsia="Times New Roman"/>
          <w:color w:val="2F5496" w:themeColor="accent1" w:themeShade="BF"/>
          <w:lang w:eastAsia="fr-FR"/>
        </w:rPr>
      </w:pPr>
    </w:p>
    <w:p w14:paraId="49BC67B7" w14:textId="77777777" w:rsidR="00F22EC4" w:rsidRDefault="00F22EC4" w:rsidP="00F22EC4">
      <w:pPr>
        <w:rPr>
          <w:rFonts w:eastAsia="Times New Roman"/>
          <w:color w:val="2F5496" w:themeColor="accent1" w:themeShade="BF"/>
          <w:lang w:eastAsia="fr-FR"/>
        </w:rPr>
      </w:pPr>
    </w:p>
    <w:p w14:paraId="4B04D237" w14:textId="77777777" w:rsidR="00F22EC4" w:rsidRDefault="00F22EC4" w:rsidP="00F22EC4">
      <w:pPr>
        <w:rPr>
          <w:rFonts w:eastAsia="Times New Roman"/>
          <w:color w:val="2F5496" w:themeColor="accent1" w:themeShade="BF"/>
          <w:lang w:eastAsia="fr-FR"/>
        </w:rPr>
      </w:pPr>
    </w:p>
    <w:p w14:paraId="3A03A514" w14:textId="77777777" w:rsidR="00F22EC4" w:rsidRDefault="00F22EC4" w:rsidP="00F22EC4">
      <w:pPr>
        <w:rPr>
          <w:rFonts w:eastAsia="Times New Roman"/>
          <w:color w:val="2F5496" w:themeColor="accent1" w:themeShade="BF"/>
          <w:lang w:eastAsia="fr-FR"/>
        </w:rPr>
      </w:pPr>
    </w:p>
    <w:p w14:paraId="21D049D4" w14:textId="77777777" w:rsidR="00F22EC4" w:rsidRDefault="00F22EC4" w:rsidP="00F22EC4">
      <w:pPr>
        <w:rPr>
          <w:rFonts w:eastAsia="Times New Roman"/>
          <w:color w:val="2F5496" w:themeColor="accent1" w:themeShade="BF"/>
          <w:lang w:eastAsia="fr-FR"/>
        </w:rPr>
      </w:pPr>
    </w:p>
    <w:p w14:paraId="60DE35E8" w14:textId="77777777" w:rsidR="00F22EC4" w:rsidRDefault="00F22EC4" w:rsidP="00F22EC4">
      <w:pPr>
        <w:rPr>
          <w:rFonts w:eastAsia="Times New Roman"/>
          <w:color w:val="2F5496" w:themeColor="accent1" w:themeShade="BF"/>
          <w:lang w:eastAsia="fr-FR"/>
        </w:rPr>
      </w:pPr>
    </w:p>
    <w:p w14:paraId="3347FB7D" w14:textId="77777777" w:rsidR="00F22EC4" w:rsidRDefault="00F22EC4" w:rsidP="00F22EC4">
      <w:pPr>
        <w:rPr>
          <w:rFonts w:eastAsia="Times New Roman"/>
          <w:color w:val="2F5496" w:themeColor="accent1" w:themeShade="BF"/>
          <w:lang w:eastAsia="fr-FR"/>
        </w:rPr>
      </w:pPr>
    </w:p>
    <w:p w14:paraId="4E590CC6" w14:textId="77777777" w:rsidR="00F22EC4" w:rsidRDefault="00F22EC4" w:rsidP="00F22EC4">
      <w:pPr>
        <w:rPr>
          <w:rFonts w:eastAsia="Times New Roman"/>
          <w:color w:val="2F5496" w:themeColor="accent1" w:themeShade="BF"/>
          <w:lang w:eastAsia="fr-FR"/>
        </w:rPr>
      </w:pPr>
    </w:p>
    <w:p w14:paraId="7D9A25D3" w14:textId="77777777" w:rsidR="00F22EC4" w:rsidRDefault="00F22EC4" w:rsidP="00F22EC4">
      <w:pPr>
        <w:rPr>
          <w:rFonts w:eastAsia="Times New Roman"/>
          <w:color w:val="2F5496" w:themeColor="accent1" w:themeShade="BF"/>
          <w:lang w:eastAsia="fr-FR"/>
        </w:rPr>
      </w:pPr>
    </w:p>
    <w:p w14:paraId="1DDEF0F3" w14:textId="77777777" w:rsidR="00F22EC4" w:rsidRDefault="00F22EC4" w:rsidP="00F22EC4">
      <w:pPr>
        <w:rPr>
          <w:rFonts w:eastAsia="Times New Roman"/>
          <w:color w:val="2F5496" w:themeColor="accent1" w:themeShade="BF"/>
          <w:lang w:eastAsia="fr-FR"/>
        </w:rPr>
      </w:pPr>
    </w:p>
    <w:p w14:paraId="634182FF" w14:textId="77777777" w:rsidR="00F22EC4" w:rsidRDefault="00F22EC4" w:rsidP="00F22EC4">
      <w:pPr>
        <w:rPr>
          <w:rFonts w:eastAsia="Times New Roman"/>
          <w:color w:val="2F5496" w:themeColor="accent1" w:themeShade="BF"/>
          <w:lang w:eastAsia="fr-FR"/>
        </w:rPr>
      </w:pPr>
    </w:p>
    <w:p w14:paraId="2C6DDF8E" w14:textId="0CCE5938" w:rsidR="00F22EC4" w:rsidRPr="00F22EC4" w:rsidRDefault="00B81391" w:rsidP="00F22EC4">
      <w:pPr>
        <w:pStyle w:val="Titre2"/>
      </w:pPr>
      <w:bookmarkStart w:id="0" w:name="_Toc185503755"/>
      <w:r w:rsidRPr="00F22EC4">
        <w:t>Le régime primaire : statut impératif de base</w:t>
      </w:r>
      <w:bookmarkEnd w:id="0"/>
    </w:p>
    <w:p w14:paraId="59F409DB" w14:textId="77777777" w:rsidR="00F22EC4" w:rsidRDefault="00F22EC4" w:rsidP="00F22EC4">
      <w:pPr>
        <w:pStyle w:val="CGPC-elearning"/>
        <w:rPr>
          <w:rFonts w:eastAsiaTheme="majorEastAsia"/>
          <w:color w:val="3A5D9C"/>
          <w:sz w:val="44"/>
          <w:szCs w:val="26"/>
          <w:bdr w:val="none" w:sz="0" w:space="0" w:color="auto" w:frame="1"/>
        </w:rPr>
      </w:pPr>
      <w:r>
        <w:br w:type="page"/>
      </w:r>
    </w:p>
    <w:p w14:paraId="50A8F84F" w14:textId="5777F774" w:rsidR="009D1152" w:rsidRPr="009D1152" w:rsidRDefault="009D1152" w:rsidP="009D1152">
      <w:pPr>
        <w:jc w:val="center"/>
      </w:pPr>
      <w:r w:rsidRPr="00B81391">
        <w:rPr>
          <w:noProof/>
        </w:rPr>
        <w:lastRenderedPageBreak/>
        <w:drawing>
          <wp:inline distT="0" distB="0" distL="0" distR="0" wp14:anchorId="305D14A7" wp14:editId="5D61B788">
            <wp:extent cx="11527221" cy="7656943"/>
            <wp:effectExtent l="533400" t="457200" r="798195" b="801370"/>
            <wp:docPr id="1731680914" name="Image 19" descr="Une image contenant personne, costume, robe de mariée, marié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80914" name="Image 19" descr="Une image contenant personne, costume, robe de mariée, mariée&#10;&#10;Description générée automatiquem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545409" cy="7669024"/>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0E2621CE" w14:textId="638B1E3C" w:rsidR="00B81391" w:rsidRPr="00177DBD" w:rsidRDefault="00B81391" w:rsidP="00B312C5">
      <w:pPr>
        <w:pStyle w:val="Titre3"/>
        <w:rPr>
          <w:rStyle w:val="lev"/>
          <w:b/>
          <w:bCs/>
          <w:szCs w:val="36"/>
        </w:rPr>
      </w:pPr>
      <w:bookmarkStart w:id="1" w:name="_Toc185503756"/>
      <w:r>
        <w:lastRenderedPageBreak/>
        <w:t>Présentation du régime primaire (ou statut impératif de base)</w:t>
      </w:r>
      <w:bookmarkEnd w:id="1"/>
    </w:p>
    <w:p w14:paraId="67EB9FCB" w14:textId="77777777" w:rsidR="00B81391" w:rsidRPr="00177DBD" w:rsidRDefault="00B81391" w:rsidP="00611F4A">
      <w:pPr>
        <w:pStyle w:val="Titre4"/>
      </w:pPr>
      <w:r w:rsidRPr="00177DBD">
        <w:rPr>
          <w:rStyle w:val="lev"/>
          <w:b/>
          <w:bCs/>
        </w:rPr>
        <w:t>Définition</w:t>
      </w:r>
      <w:r w:rsidR="00177DBD" w:rsidRPr="00177DBD">
        <w:rPr>
          <w:rStyle w:val="lev"/>
          <w:b/>
          <w:bCs/>
        </w:rPr>
        <w:t xml:space="preserve"> du régime primaire</w:t>
      </w:r>
    </w:p>
    <w:p w14:paraId="555E2548" w14:textId="77777777" w:rsidR="00B81391" w:rsidRPr="00B81391" w:rsidRDefault="00B81391" w:rsidP="009F566F">
      <w:pPr>
        <w:pStyle w:val="CGPC-elearning"/>
      </w:pPr>
      <w:r w:rsidRPr="00B81391">
        <w:t>Le </w:t>
      </w:r>
      <w:r w:rsidRPr="00B81391">
        <w:rPr>
          <w:rStyle w:val="lev"/>
          <w:b w:val="0"/>
          <w:bCs/>
        </w:rPr>
        <w:t>régime primaire </w:t>
      </w:r>
      <w:r w:rsidRPr="00B81391">
        <w:t>(parfois appelé statut impératif de base) se définit comme l’ensemble des règles patrimoniales applicables aux époux, par le seul effet du mariage, et ceci quel que soit le régime matrimonial choisi. Il n’est donc pas un régime matrimonial.</w:t>
      </w:r>
    </w:p>
    <w:p w14:paraId="17C922A3" w14:textId="77777777" w:rsidR="00177DBD" w:rsidRDefault="00B81391" w:rsidP="009F566F">
      <w:pPr>
        <w:pStyle w:val="CGPC-elearning"/>
      </w:pPr>
      <w:r w:rsidRPr="00B81391">
        <w:t xml:space="preserve">Ces dispositions </w:t>
      </w:r>
      <w:r w:rsidRPr="00177DBD">
        <w:rPr>
          <w:b/>
        </w:rPr>
        <w:t>sont d’</w:t>
      </w:r>
      <w:r w:rsidRPr="00177DBD">
        <w:rPr>
          <w:rStyle w:val="lev"/>
          <w:bCs/>
        </w:rPr>
        <w:t>ordre public</w:t>
      </w:r>
      <w:r w:rsidRPr="00B81391">
        <w:t xml:space="preserve">, ce qui signifie qu’il n’est pas possible d’y déroger conventionnellement, notamment par contrat de mariage. </w:t>
      </w:r>
    </w:p>
    <w:p w14:paraId="1A4274C6" w14:textId="77777777" w:rsidR="00B81391" w:rsidRPr="00B81391" w:rsidRDefault="00B81391" w:rsidP="009F566F">
      <w:pPr>
        <w:pStyle w:val="CGPC-elearning"/>
      </w:pPr>
      <w:r w:rsidRPr="00B81391">
        <w:t>Ce régime revêt une importance capitale, car il est d’application quotidienne et concerne des domaines très variés.</w:t>
      </w:r>
    </w:p>
    <w:p w14:paraId="02869432" w14:textId="77777777" w:rsidR="00B81391" w:rsidRPr="00177DBD" w:rsidRDefault="00B81391" w:rsidP="00611F4A">
      <w:pPr>
        <w:pStyle w:val="Titre4"/>
      </w:pPr>
      <w:r w:rsidRPr="00177DBD">
        <w:rPr>
          <w:rStyle w:val="lev"/>
          <w:b/>
          <w:bCs/>
        </w:rPr>
        <w:t>Régime primaire et régimes matrimoniaux</w:t>
      </w:r>
    </w:p>
    <w:p w14:paraId="7FEFE17B" w14:textId="77777777" w:rsidR="00177DBD" w:rsidRDefault="00B81391" w:rsidP="009F566F">
      <w:pPr>
        <w:pStyle w:val="CGPC-elearning"/>
      </w:pPr>
      <w:r w:rsidRPr="00B81391">
        <w:t xml:space="preserve">Au contraire du régime primaire, le régime matrimonial est librement choisi par les époux. Ses règles ne sont donc pas impératives. </w:t>
      </w:r>
      <w:r w:rsidR="00177DBD">
        <w:br/>
      </w:r>
      <w:r w:rsidRPr="00B81391">
        <w:t>Le régime matrimonial est établi par un </w:t>
      </w:r>
      <w:r w:rsidRPr="00B81391">
        <w:rPr>
          <w:rStyle w:val="lev"/>
          <w:b w:val="0"/>
          <w:bCs/>
        </w:rPr>
        <w:t>contrat de mariage</w:t>
      </w:r>
      <w:r w:rsidR="00177DBD">
        <w:t xml:space="preserve">.  </w:t>
      </w:r>
    </w:p>
    <w:p w14:paraId="30AA290B" w14:textId="77777777" w:rsidR="00B81391" w:rsidRPr="00B81391" w:rsidRDefault="00177DBD" w:rsidP="009F566F">
      <w:pPr>
        <w:pStyle w:val="CGPC-elearning"/>
      </w:pPr>
      <w:r>
        <w:t xml:space="preserve">A </w:t>
      </w:r>
      <w:r w:rsidR="00B81391" w:rsidRPr="00B81391">
        <w:t>défaut de contrat de mariage, le régime matrimonial applicable est celui de la communauté de biens réduite aux acquêts, dit également régime légal.</w:t>
      </w:r>
    </w:p>
    <w:p w14:paraId="0AF5510F" w14:textId="77777777" w:rsidR="00B81391" w:rsidRDefault="00B81391" w:rsidP="009F566F">
      <w:pPr>
        <w:pStyle w:val="CGPC-elearning"/>
      </w:pPr>
      <w:r w:rsidRPr="00B81391">
        <w:t>Les règles issues du régime matrimonial se superposent à celles du régime primaire. L’ensemble gouverne les relations patrimoniales entre époux.</w:t>
      </w:r>
    </w:p>
    <w:p w14:paraId="0033598F" w14:textId="77777777" w:rsidR="00177DBD" w:rsidRPr="00B81391" w:rsidRDefault="00177DBD" w:rsidP="009F566F">
      <w:pPr>
        <w:pStyle w:val="CGPC-elearning"/>
      </w:pPr>
    </w:p>
    <w:p w14:paraId="4CFF83C3" w14:textId="77777777" w:rsidR="00B81391" w:rsidRDefault="00177DBD" w:rsidP="00B312C5">
      <w:pPr>
        <w:pStyle w:val="Titre3"/>
      </w:pPr>
      <w:bookmarkStart w:id="2" w:name="_Toc185503757"/>
      <w:r>
        <w:t>Les r</w:t>
      </w:r>
      <w:r w:rsidR="00B81391">
        <w:t>ègles du régime primaire (ou statut impératif de base)</w:t>
      </w:r>
      <w:bookmarkEnd w:id="2"/>
    </w:p>
    <w:p w14:paraId="016EAE41" w14:textId="77777777" w:rsidR="00B81391" w:rsidRPr="00B81391" w:rsidRDefault="00B81391" w:rsidP="00B81391">
      <w:pPr>
        <w:rPr>
          <w:lang w:eastAsia="fr-FR"/>
        </w:rPr>
      </w:pPr>
    </w:p>
    <w:p w14:paraId="0E1FB062" w14:textId="77777777" w:rsidR="00B81391" w:rsidRDefault="00B81391" w:rsidP="00B81391">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noProof/>
          <w:color w:val="666666"/>
          <w:sz w:val="21"/>
          <w:szCs w:val="21"/>
        </w:rPr>
        <w:drawing>
          <wp:inline distT="0" distB="0" distL="0" distR="0" wp14:anchorId="66FD6904" wp14:editId="2852E598">
            <wp:extent cx="4203065" cy="2802255"/>
            <wp:effectExtent l="0" t="0" r="6985" b="0"/>
            <wp:docPr id="694761113" name="Image 18" descr="Une image contenant personne, mariée, robe de mariée, fl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761113" name="Image 18" descr="Une image contenant personne, mariée, robe de mariée, fleur&#10;&#10;Description générée automatiquem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03065" cy="2802255"/>
                    </a:xfrm>
                    <a:prstGeom prst="rect">
                      <a:avLst/>
                    </a:prstGeom>
                    <a:noFill/>
                    <a:ln>
                      <a:noFill/>
                    </a:ln>
                  </pic:spPr>
                </pic:pic>
              </a:graphicData>
            </a:graphic>
          </wp:inline>
        </w:drawing>
      </w:r>
    </w:p>
    <w:p w14:paraId="70BE5EFD" w14:textId="77777777" w:rsidR="00B81391" w:rsidRDefault="00B81391" w:rsidP="00B81391">
      <w:pPr>
        <w:pStyle w:val="NormalWeb"/>
        <w:shd w:val="clear" w:color="auto" w:fill="FFFFFF"/>
        <w:spacing w:before="0" w:beforeAutospacing="0" w:after="0" w:afterAutospacing="0"/>
        <w:jc w:val="both"/>
        <w:textAlignment w:val="baseline"/>
        <w:rPr>
          <w:rStyle w:val="lev"/>
          <w:color w:val="666666"/>
          <w:sz w:val="21"/>
          <w:szCs w:val="21"/>
        </w:rPr>
      </w:pPr>
    </w:p>
    <w:p w14:paraId="524F0EE0" w14:textId="77777777" w:rsidR="00B81391" w:rsidRDefault="00B81391" w:rsidP="00B81391">
      <w:pPr>
        <w:pStyle w:val="NormalWeb"/>
        <w:shd w:val="clear" w:color="auto" w:fill="FFFFFF"/>
        <w:spacing w:before="0" w:beforeAutospacing="0" w:after="0" w:afterAutospacing="0"/>
        <w:jc w:val="both"/>
        <w:textAlignment w:val="baseline"/>
        <w:rPr>
          <w:rStyle w:val="lev"/>
          <w:color w:val="666666"/>
          <w:sz w:val="21"/>
          <w:szCs w:val="21"/>
        </w:rPr>
      </w:pPr>
    </w:p>
    <w:p w14:paraId="3DFA8C74" w14:textId="77777777" w:rsidR="00B81391" w:rsidRDefault="00B81391" w:rsidP="00B81391">
      <w:pPr>
        <w:pStyle w:val="NormalWeb"/>
        <w:shd w:val="clear" w:color="auto" w:fill="FFFFFF"/>
        <w:spacing w:before="0" w:beforeAutospacing="0" w:after="0" w:afterAutospacing="0"/>
        <w:jc w:val="both"/>
        <w:textAlignment w:val="baseline"/>
        <w:rPr>
          <w:rStyle w:val="lev"/>
          <w:color w:val="666666"/>
          <w:sz w:val="21"/>
          <w:szCs w:val="21"/>
        </w:rPr>
      </w:pPr>
    </w:p>
    <w:p w14:paraId="4FEB1941" w14:textId="77777777" w:rsidR="00B81391" w:rsidRPr="00177DBD" w:rsidRDefault="00B81391" w:rsidP="00611F4A">
      <w:pPr>
        <w:pStyle w:val="Titre4"/>
        <w:numPr>
          <w:ilvl w:val="0"/>
          <w:numId w:val="34"/>
        </w:numPr>
      </w:pPr>
      <w:r w:rsidRPr="00611F4A">
        <w:rPr>
          <w:rStyle w:val="lev"/>
          <w:b/>
          <w:bCs/>
        </w:rPr>
        <w:lastRenderedPageBreak/>
        <w:t>Le logement familial</w:t>
      </w:r>
    </w:p>
    <w:p w14:paraId="0934A7A9" w14:textId="77777777" w:rsidR="00B81391" w:rsidRPr="00B81391" w:rsidRDefault="00B81391" w:rsidP="009F566F">
      <w:pPr>
        <w:pStyle w:val="CGPC-elearning"/>
      </w:pPr>
      <w:r w:rsidRPr="00B81391">
        <w:t>Les époux ne peuvent </w:t>
      </w:r>
      <w:r w:rsidRPr="00B81391">
        <w:rPr>
          <w:rStyle w:val="lev"/>
          <w:b w:val="0"/>
          <w:bCs/>
        </w:rPr>
        <w:t>l’un sans l’autre</w:t>
      </w:r>
      <w:r w:rsidRPr="00B81391">
        <w:t> disposer librement du </w:t>
      </w:r>
      <w:r w:rsidRPr="00B81391">
        <w:rPr>
          <w:rStyle w:val="lev"/>
          <w:b w:val="0"/>
          <w:bCs/>
        </w:rPr>
        <w:t>logement familial</w:t>
      </w:r>
      <w:r w:rsidRPr="00B81391">
        <w:t>, ni des</w:t>
      </w:r>
      <w:r w:rsidRPr="00B81391">
        <w:rPr>
          <w:rStyle w:val="lev"/>
          <w:b w:val="0"/>
          <w:bCs/>
        </w:rPr>
        <w:t> meubles meublants</w:t>
      </w:r>
      <w:r w:rsidRPr="00B81391">
        <w:t> (tels que lits, sièges, tables…) qui le garnissent.</w:t>
      </w:r>
    </w:p>
    <w:p w14:paraId="4410B817" w14:textId="77777777" w:rsidR="00B81391" w:rsidRPr="00B81391" w:rsidRDefault="00B81391" w:rsidP="009F566F">
      <w:pPr>
        <w:pStyle w:val="CGPC-elearning"/>
      </w:pPr>
      <w:r w:rsidRPr="00B81391">
        <w:t>Par conséquent, pour les actes de disposition concernant le logement (tels que la vente, la destruction, la donation, la constitution d’hypothèque ou le nantissement), le consentement des deux époux est nécessaire. Il en va de même pour la résiliation d’un contrat de bail qui n’aurait été signé que par un seul des époux.</w:t>
      </w:r>
    </w:p>
    <w:p w14:paraId="50731EF3" w14:textId="77777777" w:rsidR="00B81391" w:rsidRDefault="00B81391" w:rsidP="009F566F">
      <w:pPr>
        <w:pStyle w:val="CGPC-elearning"/>
      </w:pPr>
      <w:r w:rsidRPr="00B81391">
        <w:t>Si un acte est ainsi passé sur le logement familial sans le consentement de l’un des époux, il est possible d’en demander l’annulation.</w:t>
      </w:r>
    </w:p>
    <w:p w14:paraId="6B772CE3" w14:textId="77777777" w:rsidR="00177DBD" w:rsidRPr="00B81391" w:rsidRDefault="00177DBD" w:rsidP="009F566F">
      <w:pPr>
        <w:pStyle w:val="CGPC-elearning"/>
      </w:pPr>
    </w:p>
    <w:p w14:paraId="5601EDC9" w14:textId="77777777" w:rsidR="00B81391" w:rsidRPr="00177DBD" w:rsidRDefault="00B81391" w:rsidP="00611F4A">
      <w:pPr>
        <w:pStyle w:val="Titre4"/>
      </w:pPr>
      <w:r w:rsidRPr="00177DBD">
        <w:rPr>
          <w:rStyle w:val="lev"/>
          <w:b/>
          <w:bCs/>
        </w:rPr>
        <w:t>Les charges du mariage</w:t>
      </w:r>
    </w:p>
    <w:p w14:paraId="230C1276" w14:textId="77777777" w:rsidR="00B81391" w:rsidRPr="00B81391" w:rsidRDefault="00B81391" w:rsidP="009F566F">
      <w:pPr>
        <w:pStyle w:val="CGPC-elearning"/>
      </w:pPr>
      <w:r w:rsidRPr="00B81391">
        <w:t>Les époux doivent contribuer aux charges du mariage </w:t>
      </w:r>
      <w:r w:rsidRPr="00B81391">
        <w:rPr>
          <w:rStyle w:val="lev"/>
          <w:b w:val="0"/>
          <w:bCs/>
        </w:rPr>
        <w:t>à proportion de leurs facultés respectives</w:t>
      </w:r>
      <w:r w:rsidRPr="00B81391">
        <w:t>.</w:t>
      </w:r>
    </w:p>
    <w:p w14:paraId="212CF590" w14:textId="77777777" w:rsidR="00B81391" w:rsidRDefault="00B81391" w:rsidP="009F566F">
      <w:pPr>
        <w:pStyle w:val="CGPC-elearning"/>
      </w:pPr>
      <w:r w:rsidRPr="00B81391">
        <w:t>Les modalités d’exercice de cette contribution peuvent être précisées dans le contrat de mariage.</w:t>
      </w:r>
    </w:p>
    <w:p w14:paraId="54D54DBC" w14:textId="77777777" w:rsidR="00177DBD" w:rsidRPr="00B81391" w:rsidRDefault="00177DBD" w:rsidP="009F566F">
      <w:pPr>
        <w:pStyle w:val="CGPC-elearning"/>
      </w:pPr>
    </w:p>
    <w:p w14:paraId="1613F686" w14:textId="77777777" w:rsidR="00B81391" w:rsidRPr="00177DBD" w:rsidRDefault="00B81391" w:rsidP="00611F4A">
      <w:pPr>
        <w:pStyle w:val="Titre4"/>
      </w:pPr>
      <w:r w:rsidRPr="00177DBD">
        <w:rPr>
          <w:rStyle w:val="lev"/>
          <w:b/>
          <w:bCs/>
        </w:rPr>
        <w:t>La solidarité pour les dettes ménagères</w:t>
      </w:r>
    </w:p>
    <w:p w14:paraId="16E52243" w14:textId="77777777" w:rsidR="00B81391" w:rsidRPr="00B81391" w:rsidRDefault="00B81391" w:rsidP="009F566F">
      <w:pPr>
        <w:pStyle w:val="CGPC-elearning"/>
      </w:pPr>
      <w:r w:rsidRPr="00B81391">
        <w:t>Chaque époux peut passer seul les contrats liés à l’entretien du ménage ou à l’éducation des enfants (tels que l’engagement de dépenses relatives à la nourriture, aux vêtements, aux frais de maladie…).</w:t>
      </w:r>
    </w:p>
    <w:p w14:paraId="6F6024ED" w14:textId="77777777" w:rsidR="00B81391" w:rsidRPr="00B81391" w:rsidRDefault="00B81391" w:rsidP="009F566F">
      <w:pPr>
        <w:pStyle w:val="CGPC-elearning"/>
      </w:pPr>
      <w:r w:rsidRPr="00B81391">
        <w:t>Cependant, la dette ainsi contractée engage solidairement l’autre époux. En conséquence, si l’époux ayant contracté la dette ne la paie pas, le créancier pourra se tourner vers son conjoint pour en obtenir le règlement. Cette solidarité joue quel que soit le régime matrimonial des époux.</w:t>
      </w:r>
    </w:p>
    <w:p w14:paraId="567587F7" w14:textId="77777777" w:rsidR="00B81391" w:rsidRPr="00B81391" w:rsidRDefault="00B81391" w:rsidP="009F566F">
      <w:pPr>
        <w:pStyle w:val="CGPC-elearning"/>
      </w:pPr>
      <w:r w:rsidRPr="00B81391">
        <w:t>La solidarité pour les dettes ménagères est écartée si les dettes sont </w:t>
      </w:r>
      <w:r w:rsidRPr="00B81391">
        <w:rPr>
          <w:rStyle w:val="lev"/>
          <w:b w:val="0"/>
          <w:bCs/>
        </w:rPr>
        <w:t>manifestement excessives</w:t>
      </w:r>
      <w:r w:rsidRPr="00B81391">
        <w:t>, eu égard au train de vie du ménage, à l’utilité ou à l’inutilité de l’opération, à la bonne ou mauvaise foi du tiers contractant.</w:t>
      </w:r>
    </w:p>
    <w:p w14:paraId="75EDEFE9" w14:textId="77777777" w:rsidR="00B81391" w:rsidRDefault="00B81391" w:rsidP="009F566F">
      <w:pPr>
        <w:pStyle w:val="CGPC-elearning"/>
      </w:pPr>
      <w:r w:rsidRPr="00B81391">
        <w:t>Elle est également écartée pour les </w:t>
      </w:r>
      <w:r w:rsidRPr="00B81391">
        <w:rPr>
          <w:rStyle w:val="lev"/>
          <w:b w:val="0"/>
          <w:bCs/>
        </w:rPr>
        <w:t>achats à tempérament</w:t>
      </w:r>
      <w:r w:rsidRPr="00B81391">
        <w:t> et les </w:t>
      </w:r>
      <w:r w:rsidRPr="00B81391">
        <w:rPr>
          <w:rStyle w:val="lev"/>
          <w:b w:val="0"/>
          <w:bCs/>
        </w:rPr>
        <w:t>emprunts</w:t>
      </w:r>
      <w:r w:rsidRPr="00B81391">
        <w:t>, sauf si ces derniers portent sur des sommes modestes nécessaires aux besoins de la vie courante.</w:t>
      </w:r>
    </w:p>
    <w:p w14:paraId="4419AE09" w14:textId="77777777" w:rsidR="00177DBD" w:rsidRPr="00B81391" w:rsidRDefault="00177DBD" w:rsidP="009F566F">
      <w:pPr>
        <w:pStyle w:val="CGPC-elearning"/>
      </w:pPr>
    </w:p>
    <w:p w14:paraId="28367ACB" w14:textId="77777777" w:rsidR="00B81391" w:rsidRPr="00177DBD" w:rsidRDefault="00B81391" w:rsidP="00611F4A">
      <w:pPr>
        <w:pStyle w:val="Titre4"/>
      </w:pPr>
      <w:r w:rsidRPr="00177DBD">
        <w:rPr>
          <w:rStyle w:val="lev"/>
          <w:b/>
          <w:bCs/>
        </w:rPr>
        <w:t>Les conflits conjugaux ou l’impossibilité d’agir pour un époux</w:t>
      </w:r>
    </w:p>
    <w:p w14:paraId="4D118A53" w14:textId="77777777" w:rsidR="00B81391" w:rsidRPr="00B81391" w:rsidRDefault="00B81391" w:rsidP="009F566F">
      <w:pPr>
        <w:pStyle w:val="CGPC-elearning"/>
      </w:pPr>
      <w:r w:rsidRPr="00B81391">
        <w:t>Si un des deux époux est hors d’état de manifester sa volonté, ou s’il refuse d’effectuer un acte et que son refus n’est pas justifié par l’intérêt de la famille, l’autre époux peut passer </w:t>
      </w:r>
      <w:r w:rsidRPr="00B81391">
        <w:rPr>
          <w:rStyle w:val="lev"/>
          <w:b w:val="0"/>
          <w:bCs/>
        </w:rPr>
        <w:t>seul</w:t>
      </w:r>
      <w:r w:rsidRPr="00B81391">
        <w:t> l’acte, à la condition qu’il y ait été autorisé par décision de justice.</w:t>
      </w:r>
    </w:p>
    <w:p w14:paraId="34F45E0E" w14:textId="77777777" w:rsidR="00B81391" w:rsidRPr="00B81391" w:rsidRDefault="00B81391" w:rsidP="009F566F">
      <w:pPr>
        <w:pStyle w:val="CGPC-elearning"/>
      </w:pPr>
      <w:r w:rsidRPr="00B81391">
        <w:lastRenderedPageBreak/>
        <w:t>Si l’un des époux manque gravement à ses devoirs, et par conséquent met en péril les intérêts de la famille, celui-ci peut se voir </w:t>
      </w:r>
      <w:r w:rsidRPr="00B81391">
        <w:rPr>
          <w:rStyle w:val="lev"/>
          <w:b w:val="0"/>
          <w:bCs/>
        </w:rPr>
        <w:t>interdire</w:t>
      </w:r>
      <w:r w:rsidRPr="00B81391">
        <w:t>, par décision de justice, l’accomplissement de certains actes sans le consentement de son conjoint. En cas de besoin, le juge aux affaires familiales peut également prescrire toutes les mesures urgentes nécessaires aux intérêts de la famille.</w:t>
      </w:r>
    </w:p>
    <w:p w14:paraId="46D0EDA4" w14:textId="77777777" w:rsidR="00177DBD" w:rsidRDefault="00177DBD" w:rsidP="009F566F">
      <w:pPr>
        <w:pStyle w:val="CGPC-elearning"/>
      </w:pPr>
    </w:p>
    <w:p w14:paraId="583981D8" w14:textId="77777777" w:rsidR="00B81391" w:rsidRDefault="00177DBD" w:rsidP="00B312C5">
      <w:pPr>
        <w:pStyle w:val="Titre3"/>
        <w:rPr>
          <w:szCs w:val="36"/>
        </w:rPr>
      </w:pPr>
      <w:bookmarkStart w:id="3" w:name="_Toc185503758"/>
      <w:r>
        <w:t>L’i</w:t>
      </w:r>
      <w:r w:rsidR="00B81391">
        <w:t>ndépendance des époux</w:t>
      </w:r>
      <w:bookmarkEnd w:id="3"/>
    </w:p>
    <w:p w14:paraId="3137306F" w14:textId="77777777" w:rsidR="00B81391" w:rsidRDefault="00B81391" w:rsidP="00B81391">
      <w:pPr>
        <w:pStyle w:val="NormalWeb"/>
        <w:shd w:val="clear" w:color="auto" w:fill="FFFFFF"/>
        <w:spacing w:before="0" w:beforeAutospacing="0" w:after="0" w:afterAutospacing="0"/>
        <w:jc w:val="both"/>
        <w:textAlignment w:val="baseline"/>
        <w:rPr>
          <w:rStyle w:val="lev"/>
          <w:color w:val="666666"/>
          <w:sz w:val="21"/>
          <w:szCs w:val="21"/>
        </w:rPr>
      </w:pPr>
    </w:p>
    <w:p w14:paraId="2D49DA8E" w14:textId="77777777" w:rsidR="00B81391" w:rsidRPr="00177DBD" w:rsidRDefault="00B81391" w:rsidP="00611F4A">
      <w:pPr>
        <w:pStyle w:val="Titre4"/>
        <w:numPr>
          <w:ilvl w:val="0"/>
          <w:numId w:val="35"/>
        </w:numPr>
      </w:pPr>
      <w:r w:rsidRPr="00611F4A">
        <w:rPr>
          <w:rStyle w:val="lev"/>
          <w:b/>
        </w:rPr>
        <w:t>Le libre exercice d’une profession</w:t>
      </w:r>
    </w:p>
    <w:p w14:paraId="05525753" w14:textId="4F16BC0B" w:rsidR="00B81391" w:rsidRDefault="00B81391" w:rsidP="009F566F">
      <w:pPr>
        <w:pStyle w:val="CGPC-elearning"/>
      </w:pPr>
      <w:r>
        <w:t>Chaque époux est libre d’exercer la profession de son choix. Il perçoit et a la libre disposition de ses gains, à condition de s’être auparavant acquitté des charges du mariage.</w:t>
      </w:r>
    </w:p>
    <w:p w14:paraId="42ECC78B" w14:textId="77777777" w:rsidR="00B81391" w:rsidRPr="00863BF0" w:rsidRDefault="00B81391" w:rsidP="00611F4A">
      <w:pPr>
        <w:pStyle w:val="Titre4"/>
      </w:pPr>
      <w:r w:rsidRPr="00863BF0">
        <w:rPr>
          <w:rStyle w:val="lev"/>
          <w:b/>
        </w:rPr>
        <w:t>L’autonomie bancaire</w:t>
      </w:r>
    </w:p>
    <w:p w14:paraId="10B008C6" w14:textId="77777777" w:rsidR="00B81391" w:rsidRDefault="00B81391" w:rsidP="009F566F">
      <w:pPr>
        <w:pStyle w:val="CGPC-elearning"/>
      </w:pPr>
      <w:r w:rsidRPr="00863BF0">
        <w:rPr>
          <w:rStyle w:val="lev"/>
          <w:color w:val="666666"/>
          <w:szCs w:val="24"/>
        </w:rPr>
        <w:t>Chaque époux a la possibilité de se faire ouvrir, sans le consentement de l’autre, tout compte de dépôt et tout compte de titres, en son nom personnel</w:t>
      </w:r>
      <w:r w:rsidRPr="00863BF0">
        <w:rPr>
          <w:szCs w:val="24"/>
        </w:rPr>
        <w:t>.</w:t>
      </w:r>
      <w:r>
        <w:t xml:space="preserve"> </w:t>
      </w:r>
      <w:r w:rsidR="00863BF0">
        <w:br/>
      </w:r>
      <w:r>
        <w:t>À l’égard du dépositaire (la banque, la société de bourse…), le déposant est réputé avoir la libre disposition des fonds et des titres en dépôt, et cela même après la dissolution du mariage. Chacun des époux peut donc, quel que soit son régime matrimonial, ouvrir un compte à son nom, sans l’autorisation de son conjoint, et le faire fonctionner sous sa seule signature.</w:t>
      </w:r>
    </w:p>
    <w:p w14:paraId="4C4D4F46" w14:textId="77777777" w:rsidR="00B81391" w:rsidRPr="00863BF0" w:rsidRDefault="00B81391" w:rsidP="00611F4A">
      <w:pPr>
        <w:pStyle w:val="Titre4"/>
      </w:pPr>
      <w:r w:rsidRPr="00863BF0">
        <w:rPr>
          <w:rStyle w:val="lev"/>
          <w:b/>
        </w:rPr>
        <w:t>Les biens mobiliers</w:t>
      </w:r>
    </w:p>
    <w:p w14:paraId="4CE704E0" w14:textId="77777777" w:rsidR="009F566F" w:rsidRDefault="00B81391" w:rsidP="009F566F">
      <w:pPr>
        <w:pStyle w:val="CGPC-elearning"/>
      </w:pPr>
      <w:r>
        <w:t>Lorsqu’un époux se présente seul afin d’effectuer un </w:t>
      </w:r>
      <w:r>
        <w:rPr>
          <w:u w:val="single"/>
          <w:bdr w:val="none" w:sz="0" w:space="0" w:color="auto" w:frame="1"/>
        </w:rPr>
        <w:t>acte de conservation</w:t>
      </w:r>
      <w:r>
        <w:t> (c’est-à-dire un acte qui a pour but la sauvegarde d’un droit), un </w:t>
      </w:r>
      <w:r>
        <w:rPr>
          <w:u w:val="single"/>
          <w:bdr w:val="none" w:sz="0" w:space="0" w:color="auto" w:frame="1"/>
        </w:rPr>
        <w:t>acte d’administration</w:t>
      </w:r>
      <w:r>
        <w:t> (c’est-à-dire un acte relatif à la jouissance d’un droit) ou un </w:t>
      </w:r>
      <w:r>
        <w:rPr>
          <w:u w:val="single"/>
          <w:bdr w:val="none" w:sz="0" w:space="0" w:color="auto" w:frame="1"/>
        </w:rPr>
        <w:t>acte de disposition</w:t>
      </w:r>
      <w:r>
        <w:t xml:space="preserve"> (c’est-à-dire un acte qui a pour but de transmettre un droit), sur un bien meuble qu’il détient, il est réputé à l’égard des tiers pouvoir faire seul cet acte. </w:t>
      </w:r>
      <w:r w:rsidR="00863BF0">
        <w:br/>
      </w:r>
      <w:r>
        <w:t>Cependant, cette règle est exclue en matière de meubles meublants.</w:t>
      </w:r>
    </w:p>
    <w:p w14:paraId="55B2D40C" w14:textId="77777777" w:rsidR="009F566F" w:rsidRDefault="009F566F" w:rsidP="009F566F">
      <w:pPr>
        <w:pStyle w:val="CGPC-elearning"/>
      </w:pPr>
      <w:r>
        <w:br w:type="page"/>
      </w:r>
    </w:p>
    <w:p w14:paraId="50DA7717" w14:textId="139494D2" w:rsidR="00E43BF6" w:rsidRDefault="00C21566" w:rsidP="00E43BF6">
      <w:r>
        <w:rPr>
          <w:noProof/>
          <w14:ligatures w14:val="standardContextual"/>
        </w:rPr>
        <w:lastRenderedPageBreak/>
        <mc:AlternateContent>
          <mc:Choice Requires="wps">
            <w:drawing>
              <wp:anchor distT="0" distB="0" distL="114300" distR="114300" simplePos="0" relativeHeight="251661312" behindDoc="1" locked="0" layoutInCell="1" allowOverlap="1" wp14:anchorId="461E033F" wp14:editId="6C75448E">
                <wp:simplePos x="0" y="0"/>
                <wp:positionH relativeFrom="column">
                  <wp:posOffset>-895350</wp:posOffset>
                </wp:positionH>
                <wp:positionV relativeFrom="paragraph">
                  <wp:posOffset>-895350</wp:posOffset>
                </wp:positionV>
                <wp:extent cx="15373350" cy="10839450"/>
                <wp:effectExtent l="0" t="0" r="19050" b="19050"/>
                <wp:wrapNone/>
                <wp:docPr id="1466645011" name="Rectangle 6"/>
                <wp:cNvGraphicFramePr/>
                <a:graphic xmlns:a="http://schemas.openxmlformats.org/drawingml/2006/main">
                  <a:graphicData uri="http://schemas.microsoft.com/office/word/2010/wordprocessingShape">
                    <wps:wsp>
                      <wps:cNvSpPr/>
                      <wps:spPr>
                        <a:xfrm>
                          <a:off x="0" y="0"/>
                          <a:ext cx="15373350" cy="1083945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664FB11" id="Rectangle 6" o:spid="_x0000_s1026" style="position:absolute;margin-left:-70.5pt;margin-top:-70.5pt;width:1210.5pt;height:853.5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" fillcolor="#2f5496 [2404]" strokecolor="#09101d [484]" strokeweight="1pt"/>
            </w:pict>
          </mc:Fallback>
        </mc:AlternateContent>
      </w:r>
    </w:p>
    <w:p w14:paraId="6C9B78F3" w14:textId="77777777" w:rsidR="00E43BF6" w:rsidRDefault="00E43BF6" w:rsidP="00E43BF6"/>
    <w:p w14:paraId="669204C6" w14:textId="77777777" w:rsidR="00E43BF6" w:rsidRDefault="00E43BF6" w:rsidP="00E43BF6"/>
    <w:p w14:paraId="1F57B9AD" w14:textId="77777777" w:rsidR="00E43BF6" w:rsidRDefault="00E43BF6" w:rsidP="00E43BF6"/>
    <w:p w14:paraId="1A4283BB" w14:textId="77777777" w:rsidR="00E43BF6" w:rsidRDefault="00E43BF6" w:rsidP="00E43BF6"/>
    <w:p w14:paraId="7E8F0CCC" w14:textId="77777777" w:rsidR="00E43BF6" w:rsidRDefault="00E43BF6" w:rsidP="00E43BF6"/>
    <w:p w14:paraId="615A927F" w14:textId="77777777" w:rsidR="00E43BF6" w:rsidRDefault="00E43BF6" w:rsidP="00E43BF6"/>
    <w:p w14:paraId="71EA8FC0" w14:textId="77777777" w:rsidR="00E43BF6" w:rsidRDefault="00E43BF6" w:rsidP="00E43BF6"/>
    <w:p w14:paraId="78902EDF" w14:textId="77777777" w:rsidR="00E43BF6" w:rsidRDefault="00E43BF6" w:rsidP="00E43BF6"/>
    <w:p w14:paraId="4C62A846" w14:textId="77777777" w:rsidR="00E43BF6" w:rsidRDefault="00E43BF6" w:rsidP="00E43BF6"/>
    <w:p w14:paraId="1460A48E" w14:textId="77777777" w:rsidR="00E43BF6" w:rsidRDefault="00E43BF6" w:rsidP="00E43BF6"/>
    <w:p w14:paraId="487DC5EC" w14:textId="5A959FFF" w:rsidR="00E43BF6" w:rsidRPr="00E43BF6" w:rsidRDefault="00B81391" w:rsidP="00E43BF6">
      <w:pPr>
        <w:pStyle w:val="Titre2"/>
      </w:pPr>
      <w:bookmarkStart w:id="4" w:name="_Toc185503759"/>
      <w:r w:rsidRPr="00E43BF6">
        <w:t>Le régime légal</w:t>
      </w:r>
      <w:bookmarkEnd w:id="4"/>
    </w:p>
    <w:p w14:paraId="3608C4CA" w14:textId="77777777" w:rsidR="00E43BF6" w:rsidRDefault="00E43BF6" w:rsidP="00E43BF6">
      <w:pPr>
        <w:pStyle w:val="CGPC-elearning"/>
        <w:rPr>
          <w:rFonts w:eastAsiaTheme="majorEastAsia"/>
          <w:color w:val="3A5D9C"/>
          <w:sz w:val="48"/>
          <w:szCs w:val="26"/>
          <w:bdr w:val="none" w:sz="0" w:space="0" w:color="auto" w:frame="1"/>
        </w:rPr>
      </w:pPr>
      <w:r>
        <w:br w:type="page"/>
      </w:r>
    </w:p>
    <w:p w14:paraId="3D9A0F46" w14:textId="0F5014CB" w:rsidR="00B81391" w:rsidRPr="00474044" w:rsidRDefault="00474044" w:rsidP="00474044">
      <w:pPr>
        <w:jc w:val="center"/>
      </w:pPr>
      <w:r>
        <w:rPr>
          <w:noProof/>
          <w:lang w:eastAsia="fr-FR"/>
        </w:rPr>
        <w:lastRenderedPageBreak/>
        <w:drawing>
          <wp:inline distT="0" distB="0" distL="0" distR="0" wp14:anchorId="0E3A7210" wp14:editId="6F847247">
            <wp:extent cx="12722772" cy="8449960"/>
            <wp:effectExtent l="533400" t="457200" r="803275" b="808355"/>
            <wp:docPr id="1341614079" name="Image 16" descr="Une image contenant personne, plein air, habits, herb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614079" name="Image 16" descr="Une image contenant personne, plein air, habits, herbe&#10;&#10;Description générée automatiquemen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44956" cy="8464694"/>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1C1EC85A" w14:textId="77777777" w:rsidR="00B81391" w:rsidRDefault="00B81391" w:rsidP="00B81391">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63F8E176" w14:textId="77777777" w:rsidR="00B81391" w:rsidRDefault="00B81391" w:rsidP="009F566F">
      <w:pPr>
        <w:pStyle w:val="CGPC-elearning"/>
      </w:pPr>
      <w:r>
        <w:t>Le régime légal est le </w:t>
      </w:r>
      <w:r>
        <w:rPr>
          <w:u w:val="single"/>
          <w:bdr w:val="none" w:sz="0" w:space="0" w:color="auto" w:frame="1"/>
        </w:rPr>
        <w:t>régime matrimonial</w:t>
      </w:r>
      <w:r>
        <w:t> qui s’applique automatiquement aux époux si ceux-ci n’ont pas établi de </w:t>
      </w:r>
      <w:r>
        <w:rPr>
          <w:u w:val="single"/>
          <w:bdr w:val="none" w:sz="0" w:space="0" w:color="auto" w:frame="1"/>
        </w:rPr>
        <w:t>contrat de mariage</w:t>
      </w:r>
      <w:r>
        <w:t>. Depuis la loi du 13 juillet 1965, le régime légal est celui de la </w:t>
      </w:r>
      <w:r>
        <w:rPr>
          <w:u w:val="single"/>
          <w:bdr w:val="none" w:sz="0" w:space="0" w:color="auto" w:frame="1"/>
        </w:rPr>
        <w:t>communauté de biens réduite aux acquêts</w:t>
      </w:r>
      <w:r>
        <w:t>.</w:t>
      </w:r>
    </w:p>
    <w:p w14:paraId="5DEE519E" w14:textId="77777777" w:rsidR="00B81391" w:rsidRDefault="00B81391" w:rsidP="009F566F">
      <w:pPr>
        <w:pStyle w:val="CGPC-elearning"/>
      </w:pPr>
      <w:r>
        <w:t>Ce régime est applicable aux personnes mariées depuis le 01/02/1966, date d’entrée en application de la date de loi. Pour les personnes mariées avant cette date, c’est l’ancien régime de la communauté des meubles et acquêts qui s’applique, à moins qu’elles n’aient opté depuis pour la nouvelle communauté.</w:t>
      </w:r>
    </w:p>
    <w:p w14:paraId="1ABE0DDE" w14:textId="77777777" w:rsidR="00863BF0" w:rsidRDefault="00863BF0" w:rsidP="009F566F">
      <w:pPr>
        <w:pStyle w:val="CGPC-elearning"/>
      </w:pPr>
    </w:p>
    <w:p w14:paraId="0826AD9B" w14:textId="77777777" w:rsidR="00B81391" w:rsidRPr="00863BF0" w:rsidRDefault="00B81391" w:rsidP="00B312C5">
      <w:pPr>
        <w:pStyle w:val="Titre3"/>
        <w:rPr>
          <w:rStyle w:val="lev"/>
          <w:b/>
          <w:bCs/>
          <w:szCs w:val="36"/>
        </w:rPr>
      </w:pPr>
      <w:bookmarkStart w:id="5" w:name="_Toc185503760"/>
      <w:r>
        <w:t xml:space="preserve">Qualification des biens </w:t>
      </w:r>
      <w:r w:rsidR="00863BF0">
        <w:t>dans le</w:t>
      </w:r>
      <w:r>
        <w:t xml:space="preserve"> régime légal</w:t>
      </w:r>
      <w:bookmarkEnd w:id="5"/>
    </w:p>
    <w:p w14:paraId="4EDED060" w14:textId="77777777" w:rsidR="00863BF0" w:rsidRPr="00863BF0" w:rsidRDefault="00863BF0" w:rsidP="00611F4A">
      <w:pPr>
        <w:pStyle w:val="Titre4"/>
        <w:numPr>
          <w:ilvl w:val="0"/>
          <w:numId w:val="0"/>
        </w:numPr>
        <w:ind w:left="1440"/>
        <w:rPr>
          <w:rStyle w:val="lev"/>
          <w:b/>
          <w:bCs/>
        </w:rPr>
      </w:pPr>
    </w:p>
    <w:p w14:paraId="54ECCE23" w14:textId="77777777" w:rsidR="00B81391" w:rsidRPr="00863BF0" w:rsidRDefault="00863BF0" w:rsidP="00611F4A">
      <w:pPr>
        <w:pStyle w:val="Titre4"/>
        <w:numPr>
          <w:ilvl w:val="0"/>
          <w:numId w:val="36"/>
        </w:numPr>
      </w:pPr>
      <w:r w:rsidRPr="00611F4A">
        <w:rPr>
          <w:rStyle w:val="lev"/>
          <w:b/>
        </w:rPr>
        <w:t>L’o</w:t>
      </w:r>
      <w:r w:rsidR="00B81391" w:rsidRPr="00611F4A">
        <w:rPr>
          <w:rStyle w:val="lev"/>
          <w:b/>
        </w:rPr>
        <w:t>rganisation des patrimoines</w:t>
      </w:r>
    </w:p>
    <w:p w14:paraId="1BACF7B3" w14:textId="123C99E4" w:rsidR="00B81391" w:rsidRDefault="00B81391" w:rsidP="009F566F">
      <w:pPr>
        <w:pStyle w:val="CGPC-elearning"/>
      </w:pPr>
      <w:r>
        <w:t>Le régime de la communauté de biens réduite aux acquêts repose sur l’existence de </w:t>
      </w:r>
      <w:r w:rsidRPr="00863BF0">
        <w:rPr>
          <w:rStyle w:val="lev"/>
          <w:color w:val="666666"/>
          <w:szCs w:val="24"/>
        </w:rPr>
        <w:t>trois masses distinctes</w:t>
      </w:r>
      <w:r w:rsidRPr="00863BF0">
        <w:rPr>
          <w:rStyle w:val="lev"/>
          <w:b w:val="0"/>
          <w:color w:val="666666"/>
          <w:szCs w:val="24"/>
        </w:rPr>
        <w:t> </w:t>
      </w:r>
      <w:r w:rsidRPr="00863BF0">
        <w:rPr>
          <w:b/>
          <w:color w:val="666666"/>
          <w:szCs w:val="24"/>
        </w:rPr>
        <w:t>de biens</w:t>
      </w:r>
      <w:r w:rsidRPr="00863BF0">
        <w:rPr>
          <w:color w:val="666666"/>
        </w:rPr>
        <w:t xml:space="preserve"> </w:t>
      </w:r>
      <w:r>
        <w:t>: deux masses propres et une masse commune. Cette répartition a des conséquences autant sur la propriété que sur la gestion des biens concernés.</w:t>
      </w:r>
    </w:p>
    <w:p w14:paraId="55A73F7B" w14:textId="77777777" w:rsidR="00B81391" w:rsidRDefault="00B81391" w:rsidP="009F566F">
      <w:pPr>
        <w:pStyle w:val="CGPC-elearning"/>
      </w:pPr>
      <w:r>
        <w:t>Ces trois masses de biens sont :</w:t>
      </w:r>
    </w:p>
    <w:p w14:paraId="0C3B2708" w14:textId="77777777" w:rsidR="00B81391" w:rsidRDefault="00863BF0" w:rsidP="009F566F">
      <w:pPr>
        <w:pStyle w:val="CGPC-elearning"/>
      </w:pPr>
      <w:r>
        <w:t>- L</w:t>
      </w:r>
      <w:r w:rsidR="00B81391">
        <w:t xml:space="preserve">es </w:t>
      </w:r>
      <w:r>
        <w:t xml:space="preserve">deux correspondant aux </w:t>
      </w:r>
      <w:r w:rsidR="00B81391">
        <w:t>biens propres de chacun des deux époux ;</w:t>
      </w:r>
    </w:p>
    <w:p w14:paraId="54550D1C" w14:textId="77777777" w:rsidR="00B81391" w:rsidRDefault="00863BF0" w:rsidP="009F566F">
      <w:pPr>
        <w:pStyle w:val="CGPC-elearning"/>
      </w:pPr>
      <w:r>
        <w:t>- L</w:t>
      </w:r>
      <w:r w:rsidR="00B81391">
        <w:t>es biens communs aux deux époux (la communauté).</w:t>
      </w:r>
    </w:p>
    <w:p w14:paraId="5DE4D5A5" w14:textId="77777777" w:rsidR="00863BF0" w:rsidRDefault="00863BF0" w:rsidP="009F566F">
      <w:pPr>
        <w:pStyle w:val="CGPC-elearning"/>
      </w:pPr>
    </w:p>
    <w:p w14:paraId="2EE4F90D" w14:textId="77777777" w:rsidR="00B81391" w:rsidRPr="00863BF0" w:rsidRDefault="00863BF0" w:rsidP="00611F4A">
      <w:pPr>
        <w:pStyle w:val="Titre4"/>
      </w:pPr>
      <w:r w:rsidRPr="00863BF0">
        <w:rPr>
          <w:rStyle w:val="lev"/>
          <w:b/>
        </w:rPr>
        <w:t>Le c</w:t>
      </w:r>
      <w:r w:rsidR="00B81391" w:rsidRPr="00863BF0">
        <w:rPr>
          <w:rStyle w:val="lev"/>
          <w:b/>
        </w:rPr>
        <w:t>ritère de répartition</w:t>
      </w:r>
    </w:p>
    <w:p w14:paraId="213346F5" w14:textId="77777777" w:rsidR="00B81391" w:rsidRDefault="00B81391" w:rsidP="009F566F">
      <w:pPr>
        <w:pStyle w:val="CGPC-elearning"/>
      </w:pPr>
      <w:r>
        <w:t>Le critère de répartition réside dans l’origine du bien. La communauté se compose des biens acquis à titre onéreux (les acquêts) pendant le mariage par les époux, ensemble ou séparément, grâce à leurs gains et </w:t>
      </w:r>
      <w:r>
        <w:rPr>
          <w:u w:val="single"/>
          <w:bdr w:val="none" w:sz="0" w:space="0" w:color="auto" w:frame="1"/>
        </w:rPr>
        <w:t>salaires</w:t>
      </w:r>
      <w:r>
        <w:t>, mais aussi grâce aux </w:t>
      </w:r>
      <w:r>
        <w:rPr>
          <w:u w:val="single"/>
          <w:bdr w:val="none" w:sz="0" w:space="0" w:color="auto" w:frame="1"/>
        </w:rPr>
        <w:t>revenus</w:t>
      </w:r>
      <w:r>
        <w:t> de leurs biens propres.</w:t>
      </w:r>
    </w:p>
    <w:p w14:paraId="4735F9AC" w14:textId="77777777" w:rsidR="00B81391" w:rsidRDefault="00B81391" w:rsidP="009F566F">
      <w:pPr>
        <w:pStyle w:val="CGPC-elearning"/>
      </w:pPr>
      <w:r>
        <w:t>Toutefois, restent propres, notamment :</w:t>
      </w:r>
    </w:p>
    <w:p w14:paraId="7CB81F10" w14:textId="77777777" w:rsidR="00B81391" w:rsidRDefault="00863BF0" w:rsidP="009F566F">
      <w:pPr>
        <w:pStyle w:val="CGPC-elearning"/>
      </w:pPr>
      <w:r>
        <w:t xml:space="preserve">- </w:t>
      </w:r>
      <w:r w:rsidR="00B81391">
        <w:t>les biens propres par nature ayant un caractère personnel (vêtements, actions en réparation d’un préjudice personnel…) ;</w:t>
      </w:r>
    </w:p>
    <w:p w14:paraId="3E8C9203" w14:textId="77777777" w:rsidR="00B81391" w:rsidRDefault="00863BF0" w:rsidP="009F566F">
      <w:pPr>
        <w:pStyle w:val="CGPC-elearning"/>
      </w:pPr>
      <w:r>
        <w:t xml:space="preserve">- </w:t>
      </w:r>
      <w:r w:rsidR="00B81391">
        <w:t>les biens que les époux possédaient avant le mariage, ou ceux qu’ils acquièrent durant le mariage par </w:t>
      </w:r>
      <w:r w:rsidR="00B81391">
        <w:rPr>
          <w:u w:val="single"/>
          <w:bdr w:val="none" w:sz="0" w:space="0" w:color="auto" w:frame="1"/>
        </w:rPr>
        <w:t>succession</w:t>
      </w:r>
      <w:r w:rsidR="00B81391">
        <w:t> ou </w:t>
      </w:r>
      <w:r w:rsidR="00B81391">
        <w:rPr>
          <w:u w:val="single"/>
          <w:bdr w:val="none" w:sz="0" w:space="0" w:color="auto" w:frame="1"/>
        </w:rPr>
        <w:t>donation</w:t>
      </w:r>
      <w:r w:rsidR="00B81391">
        <w:t> (sauf si le testateur ou le donateur ont exprimé la volonté qu’ils entrent en communauté) ;</w:t>
      </w:r>
    </w:p>
    <w:p w14:paraId="31CA57D4" w14:textId="77777777" w:rsidR="00B81391" w:rsidRDefault="00863BF0" w:rsidP="009F566F">
      <w:pPr>
        <w:pStyle w:val="CGPC-elearning"/>
      </w:pPr>
      <w:r>
        <w:t xml:space="preserve">- </w:t>
      </w:r>
      <w:r w:rsidR="00B81391">
        <w:t>les biens acquis avec des fonds provenant de la vente de biens propres, sous réserve que soit insérée une clause de remploi.</w:t>
      </w:r>
    </w:p>
    <w:p w14:paraId="3A983895" w14:textId="77777777" w:rsidR="00863BF0" w:rsidRDefault="00863BF0" w:rsidP="009F566F">
      <w:pPr>
        <w:pStyle w:val="CGPC-elearning"/>
      </w:pPr>
    </w:p>
    <w:p w14:paraId="7CBF7A6D" w14:textId="77777777" w:rsidR="00863BF0" w:rsidRDefault="00863BF0" w:rsidP="009F566F">
      <w:pPr>
        <w:pStyle w:val="CGPC-elearning"/>
      </w:pPr>
    </w:p>
    <w:p w14:paraId="58C8A0AE" w14:textId="77777777" w:rsidR="00B81391" w:rsidRDefault="00B81391" w:rsidP="00B312C5">
      <w:pPr>
        <w:pStyle w:val="Titre3"/>
        <w:rPr>
          <w:szCs w:val="36"/>
        </w:rPr>
      </w:pPr>
      <w:bookmarkStart w:id="6" w:name="_Toc185503761"/>
      <w:r>
        <w:t>La théorie des récompenses</w:t>
      </w:r>
      <w:bookmarkEnd w:id="6"/>
    </w:p>
    <w:p w14:paraId="23C9216F" w14:textId="77777777" w:rsidR="00B81391" w:rsidRDefault="00B81391" w:rsidP="00B81391">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76145A37" w14:textId="77777777" w:rsidR="00B81391" w:rsidRPr="00B81391" w:rsidRDefault="00B81391" w:rsidP="009F566F">
      <w:pPr>
        <w:pStyle w:val="CGPC-elearning"/>
      </w:pPr>
      <w:r w:rsidRPr="00B81391">
        <w:t>La théorie des récompenses vise à corriger les effets des mouvements pouvant intervenir entre, d’une part, la masse commune et, d’autre part</w:t>
      </w:r>
      <w:r w:rsidR="00863BF0">
        <w:t>, une masse propre. Elle donne alors</w:t>
      </w:r>
      <w:r w:rsidRPr="00B81391">
        <w:t xml:space="preserve"> lieu à une indemnité qui sera déterminée lors de la liquidation (calcul des droits de chaque époux) de la communauté.</w:t>
      </w:r>
    </w:p>
    <w:p w14:paraId="05D5E758" w14:textId="77777777" w:rsidR="00B81391" w:rsidRPr="00B81391" w:rsidRDefault="00B81391" w:rsidP="009F566F">
      <w:pPr>
        <w:pStyle w:val="CGPC-elearning"/>
      </w:pPr>
      <w:r w:rsidRPr="00B81391">
        <w:t>Deux situations sont envisageables :</w:t>
      </w:r>
    </w:p>
    <w:p w14:paraId="7A18DC14" w14:textId="77777777" w:rsidR="00B81391" w:rsidRPr="00B81391" w:rsidRDefault="00863BF0" w:rsidP="009F566F">
      <w:pPr>
        <w:pStyle w:val="CGPC-elearning"/>
      </w:pPr>
      <w:r>
        <w:t xml:space="preserve">- </w:t>
      </w:r>
      <w:r w:rsidR="00B81391" w:rsidRPr="00B81391">
        <w:t xml:space="preserve">soit la communauté a tiré profit d’un bien propre (par exemple, elle a encaissé le prix de la vente d’un bien propre) </w:t>
      </w:r>
      <w:r>
        <w:t>et</w:t>
      </w:r>
      <w:r w:rsidR="00B81391" w:rsidRPr="00B81391">
        <w:t xml:space="preserve"> elle doit alors récompense à l’époux auquel le bien appartenait en propre, si cet époux n’a pas souhaité expressément que l’argent venant de la vente du bien devienne commun ;</w:t>
      </w:r>
    </w:p>
    <w:p w14:paraId="26BFE58D" w14:textId="77777777" w:rsidR="00B81391" w:rsidRPr="00B81391" w:rsidRDefault="00863BF0" w:rsidP="009F566F">
      <w:pPr>
        <w:pStyle w:val="CGPC-elearning"/>
      </w:pPr>
      <w:r>
        <w:t xml:space="preserve">- </w:t>
      </w:r>
      <w:r w:rsidR="00B81391" w:rsidRPr="00B81391">
        <w:t>soit un époux a tiré profit de la communauté (par exemple, il a procédé à l’amélioration d’un bien propr</w:t>
      </w:r>
      <w:r>
        <w:t>e grâce à des deniers communs) et</w:t>
      </w:r>
      <w:r w:rsidR="00B81391" w:rsidRPr="00B81391">
        <w:t xml:space="preserve"> il doit alors récompense à la communauté.</w:t>
      </w:r>
    </w:p>
    <w:p w14:paraId="2AD6167C" w14:textId="77777777" w:rsidR="00B81391" w:rsidRDefault="00B81391" w:rsidP="009F566F">
      <w:pPr>
        <w:pStyle w:val="CGPC-elearning"/>
      </w:pPr>
    </w:p>
    <w:p w14:paraId="722958BA" w14:textId="77777777" w:rsidR="00B81391" w:rsidRDefault="00863BF0" w:rsidP="00B312C5">
      <w:pPr>
        <w:pStyle w:val="Titre3"/>
        <w:rPr>
          <w:szCs w:val="36"/>
        </w:rPr>
      </w:pPr>
      <w:bookmarkStart w:id="7" w:name="_Toc185503762"/>
      <w:r>
        <w:t>La g</w:t>
      </w:r>
      <w:r w:rsidR="00B81391">
        <w:t>estion des patrimoines</w:t>
      </w:r>
      <w:bookmarkEnd w:id="7"/>
    </w:p>
    <w:p w14:paraId="373DD4ED" w14:textId="77777777" w:rsidR="00B81391" w:rsidRDefault="00B81391" w:rsidP="00B81391">
      <w:pPr>
        <w:pStyle w:val="NormalWeb"/>
        <w:shd w:val="clear" w:color="auto" w:fill="FFFFFF"/>
        <w:spacing w:before="0" w:beforeAutospacing="0" w:after="0" w:afterAutospacing="0"/>
        <w:jc w:val="both"/>
        <w:textAlignment w:val="baseline"/>
        <w:rPr>
          <w:rStyle w:val="lev"/>
          <w:color w:val="666666"/>
          <w:sz w:val="21"/>
          <w:szCs w:val="21"/>
        </w:rPr>
      </w:pPr>
    </w:p>
    <w:p w14:paraId="5A1E5D97" w14:textId="77777777" w:rsidR="00B81391" w:rsidRPr="00863BF0" w:rsidRDefault="00B81391" w:rsidP="00611F4A">
      <w:pPr>
        <w:pStyle w:val="Titre4"/>
        <w:numPr>
          <w:ilvl w:val="0"/>
          <w:numId w:val="37"/>
        </w:numPr>
      </w:pPr>
      <w:r w:rsidRPr="00611F4A">
        <w:rPr>
          <w:rStyle w:val="lev"/>
          <w:b/>
        </w:rPr>
        <w:t>Administration, disposition et jouissance des biens propres</w:t>
      </w:r>
    </w:p>
    <w:p w14:paraId="59F94D5C" w14:textId="77777777" w:rsidR="00B81391" w:rsidRDefault="00B81391" w:rsidP="009F566F">
      <w:pPr>
        <w:pStyle w:val="CGPC-elearning"/>
      </w:pPr>
      <w:r>
        <w:t>Chaque époux détient le pouvoir d’accomplir seul les actes relatifs à ses biens propres.</w:t>
      </w:r>
    </w:p>
    <w:p w14:paraId="4C19A4A7" w14:textId="77777777" w:rsidR="00863BF0" w:rsidRDefault="00863BF0" w:rsidP="009F566F">
      <w:pPr>
        <w:pStyle w:val="CGPC-elearning"/>
      </w:pPr>
    </w:p>
    <w:p w14:paraId="0ECE7988" w14:textId="77777777" w:rsidR="00B81391" w:rsidRPr="00863BF0" w:rsidRDefault="00B81391" w:rsidP="00611F4A">
      <w:pPr>
        <w:pStyle w:val="Titre4"/>
      </w:pPr>
      <w:r w:rsidRPr="00863BF0">
        <w:rPr>
          <w:rStyle w:val="lev"/>
          <w:b/>
        </w:rPr>
        <w:t>La gestion concurrente des biens communs</w:t>
      </w:r>
    </w:p>
    <w:p w14:paraId="2219083C" w14:textId="77777777" w:rsidR="00B81391" w:rsidRPr="00863BF0" w:rsidRDefault="00B81391" w:rsidP="009F566F">
      <w:pPr>
        <w:pStyle w:val="CGPC-elearning"/>
        <w:rPr>
          <w:szCs w:val="24"/>
        </w:rPr>
      </w:pPr>
      <w:r>
        <w:t>Les époux disposent chacun d’une </w:t>
      </w:r>
      <w:r>
        <w:rPr>
          <w:rStyle w:val="lev"/>
          <w:color w:val="666666"/>
          <w:sz w:val="21"/>
          <w:szCs w:val="21"/>
        </w:rPr>
        <w:t>autonomie de gestion </w:t>
      </w:r>
      <w:r>
        <w:t>des biens communs : ils ont le pouvoir d’accomplir seuls les actes d’administration de ces biens ; c’est ce que l’on appelle la </w:t>
      </w:r>
      <w:r w:rsidRPr="00863BF0">
        <w:rPr>
          <w:rStyle w:val="lev"/>
          <w:color w:val="666666"/>
          <w:szCs w:val="24"/>
        </w:rPr>
        <w:t>gestion concurrente</w:t>
      </w:r>
      <w:r w:rsidRPr="00863BF0">
        <w:rPr>
          <w:szCs w:val="24"/>
        </w:rPr>
        <w:t>.</w:t>
      </w:r>
    </w:p>
    <w:p w14:paraId="355DB79F" w14:textId="77777777" w:rsidR="00B81391" w:rsidRPr="00863BF0" w:rsidRDefault="00B81391" w:rsidP="00611F4A">
      <w:pPr>
        <w:pStyle w:val="Titre4"/>
      </w:pPr>
      <w:r w:rsidRPr="00863BF0">
        <w:rPr>
          <w:rStyle w:val="lev"/>
          <w:b/>
        </w:rPr>
        <w:t>La cogestion</w:t>
      </w:r>
    </w:p>
    <w:p w14:paraId="675A0FB9" w14:textId="77777777" w:rsidR="00B81391" w:rsidRDefault="00B81391" w:rsidP="009F566F">
      <w:pPr>
        <w:pStyle w:val="CGPC-elearning"/>
        <w:rPr>
          <w:szCs w:val="24"/>
        </w:rPr>
      </w:pPr>
      <w:r>
        <w:t>Toutefois, pour les </w:t>
      </w:r>
      <w:r w:rsidRPr="00863BF0">
        <w:rPr>
          <w:rStyle w:val="lev"/>
          <w:color w:val="666666"/>
          <w:szCs w:val="24"/>
        </w:rPr>
        <w:t>actes les plus graves</w:t>
      </w:r>
      <w:r>
        <w:t> (</w:t>
      </w:r>
      <w:r>
        <w:rPr>
          <w:u w:val="single"/>
          <w:bdr w:val="none" w:sz="0" w:space="0" w:color="auto" w:frame="1"/>
        </w:rPr>
        <w:t>donation</w:t>
      </w:r>
      <w:r>
        <w:t>, </w:t>
      </w:r>
      <w:r>
        <w:rPr>
          <w:u w:val="single"/>
          <w:bdr w:val="none" w:sz="0" w:space="0" w:color="auto" w:frame="1"/>
        </w:rPr>
        <w:t>vente d’immeuble</w:t>
      </w:r>
      <w:r>
        <w:t>, constitution d’</w:t>
      </w:r>
      <w:r>
        <w:rPr>
          <w:u w:val="single"/>
          <w:bdr w:val="none" w:sz="0" w:space="0" w:color="auto" w:frame="1"/>
        </w:rPr>
        <w:t>hypothèque</w:t>
      </w:r>
      <w:r>
        <w:t>…), le consentement des deux époux est nécessaire ; c’est ce que l’on appelle la </w:t>
      </w:r>
      <w:r w:rsidRPr="00863BF0">
        <w:rPr>
          <w:rStyle w:val="lev"/>
          <w:color w:val="666666"/>
          <w:szCs w:val="24"/>
        </w:rPr>
        <w:t>cogestion</w:t>
      </w:r>
      <w:r w:rsidRPr="00863BF0">
        <w:rPr>
          <w:szCs w:val="24"/>
        </w:rPr>
        <w:t>.</w:t>
      </w:r>
    </w:p>
    <w:p w14:paraId="051A188F" w14:textId="77777777" w:rsidR="00863BF0" w:rsidRDefault="00863BF0" w:rsidP="009F566F">
      <w:pPr>
        <w:pStyle w:val="CGPC-elearning"/>
      </w:pPr>
    </w:p>
    <w:p w14:paraId="552CCC16" w14:textId="77777777" w:rsidR="00B81391" w:rsidRDefault="00C06AC8" w:rsidP="00B312C5">
      <w:pPr>
        <w:pStyle w:val="Titre3"/>
        <w:rPr>
          <w:szCs w:val="36"/>
        </w:rPr>
      </w:pPr>
      <w:bookmarkStart w:id="8" w:name="_Toc185503763"/>
      <w:r>
        <w:lastRenderedPageBreak/>
        <w:t>Les c</w:t>
      </w:r>
      <w:r w:rsidR="00B81391">
        <w:t>lause</w:t>
      </w:r>
      <w:r>
        <w:t>s</w:t>
      </w:r>
      <w:r w:rsidR="00B81391">
        <w:t xml:space="preserve"> d’emploi ou de remploi</w:t>
      </w:r>
      <w:bookmarkEnd w:id="8"/>
    </w:p>
    <w:p w14:paraId="329E534A" w14:textId="77777777" w:rsidR="00B81391" w:rsidRDefault="00B81391" w:rsidP="00B81391">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7EEE1BEA" w14:textId="77777777" w:rsidR="00B81391" w:rsidRDefault="00B81391" w:rsidP="009F566F">
      <w:pPr>
        <w:pStyle w:val="CGPC-elearning"/>
      </w:pPr>
      <w:r>
        <w:t xml:space="preserve">Les biens propres dans le régime légal (sans contrat de mariage) doivent être tracés. </w:t>
      </w:r>
      <w:r w:rsidR="00C06AC8">
        <w:br/>
      </w:r>
      <w:r>
        <w:t xml:space="preserve">Les biens acquis pendant le mariage sont présumés communs, sauf si la preuve contraire peut être apportée (présomption de communauté). </w:t>
      </w:r>
      <w:r w:rsidR="00C06AC8">
        <w:br/>
      </w:r>
      <w:r>
        <w:t xml:space="preserve">Il est donc utile de prévoir que le conjoint propriétaire d’un bien propre rédige une clause d’emploi ou de remploi au moment de la vente d’un bien propre. </w:t>
      </w:r>
      <w:r w:rsidR="00C06AC8">
        <w:br/>
      </w:r>
      <w:r>
        <w:t>Ce document permettant la traçabilité des sommes sera joint lors de la souscription d’un contrat d’assurance vie, d’un produit financier (ou d’un simple versement sur un compte bancaire) ou inséré dans l’acte de propriété lors de l’acquisition d’un autre bien immobilier. Il doit préciser que l’achat est effectué grâce à des deniers propres et que le conjoint acquéreur souhaite que le bien acquis constitue un bien propre.</w:t>
      </w:r>
    </w:p>
    <w:p w14:paraId="0FB1DEA4" w14:textId="77777777" w:rsidR="00B81391" w:rsidRDefault="00B81391" w:rsidP="009F566F">
      <w:pPr>
        <w:pStyle w:val="CGPC-elearning"/>
      </w:pPr>
      <w:r>
        <w:t>En effet, en cas d’acquisition, durant le mariage, d’un bien avec des fonds propres, le bien acquis est commun en l’absence d’une clause d’emploi ou de remploi. Il peut être prévu une récompense le cas échéant, lors de la liquidation.</w:t>
      </w:r>
    </w:p>
    <w:p w14:paraId="35B6EC28" w14:textId="77777777" w:rsidR="00B81391" w:rsidRDefault="00B81391" w:rsidP="009F566F">
      <w:pPr>
        <w:pStyle w:val="CGPC-elearning"/>
      </w:pPr>
      <w:r>
        <w:t>La déclaration qui permet de conserver le caractère propre au bien acquis avec des fonds propres porte à la fois sur l’origine des fonds et sur la volonté de faire du bien nouvellement acquis un emploi ou un remploi.</w:t>
      </w:r>
    </w:p>
    <w:p w14:paraId="458E854F" w14:textId="77777777" w:rsidR="00B81391" w:rsidRDefault="00B81391" w:rsidP="009F566F">
      <w:pPr>
        <w:pStyle w:val="CGPC-elearning"/>
      </w:pPr>
      <w:r>
        <w:t>Le consentement du conjoint n’est pas nécessaire si cette déclaration est effectuée lors de l’acquisition.</w:t>
      </w:r>
    </w:p>
    <w:p w14:paraId="079D0C2F" w14:textId="13EB917C" w:rsidR="00B81391" w:rsidRDefault="00B81391" w:rsidP="009F566F">
      <w:pPr>
        <w:pStyle w:val="CGPC-elearning"/>
      </w:pPr>
    </w:p>
    <w:p w14:paraId="2EE90A71" w14:textId="77777777" w:rsidR="00B81391" w:rsidRDefault="00B81391" w:rsidP="00C06AC8">
      <w:pPr>
        <w:pStyle w:val="CGPC-elearning"/>
        <w:numPr>
          <w:ilvl w:val="0"/>
          <w:numId w:val="38"/>
        </w:numPr>
      </w:pPr>
      <w:r w:rsidRPr="00C06AC8">
        <w:rPr>
          <w:rStyle w:val="lev"/>
          <w:color w:val="666666"/>
          <w:szCs w:val="24"/>
          <w:u w:val="single"/>
        </w:rPr>
        <w:t>Attention aux opérations intercalaires !</w:t>
      </w:r>
      <w:r>
        <w:t> Lorsque le prix de cession d’une vente immobilière d’un bien propre est – avant le réinvestissement dans un autre bien immobilier par exemple – investi sur un livret bancaire, même au nom propre de l’époux, il perd sa qualité de bien propre sans déclaration de remploi… Les époux peuvent convenir a posteriori d’un remploi, mais il ne sera opposable qu’aux conjoints eux-mêmes et à leurs héritiers (et non aux créanciers de l’un des époux).</w:t>
      </w:r>
    </w:p>
    <w:p w14:paraId="3D4260B3" w14:textId="4F3908A1" w:rsidR="00474044" w:rsidRDefault="00474044">
      <w:pPr>
        <w:jc w:val="left"/>
        <w:rPr>
          <w:rFonts w:cs="Open Sans"/>
          <w:bCs/>
          <w:kern w:val="2"/>
          <w:szCs w:val="36"/>
          <w14:ligatures w14:val="standardContextual"/>
        </w:rPr>
      </w:pPr>
      <w:r>
        <w:br w:type="page"/>
      </w:r>
    </w:p>
    <w:p w14:paraId="5A0CE65F" w14:textId="44B72D64" w:rsidR="00C06AC8" w:rsidRDefault="00C21566" w:rsidP="00C06AC8">
      <w:pPr>
        <w:pStyle w:val="CGPC-elearning"/>
        <w:ind w:left="360"/>
      </w:pPr>
      <w:r>
        <w:rPr>
          <w:noProof/>
        </w:rPr>
        <w:lastRenderedPageBreak/>
        <mc:AlternateContent>
          <mc:Choice Requires="wps">
            <w:drawing>
              <wp:anchor distT="0" distB="0" distL="114300" distR="114300" simplePos="0" relativeHeight="251662336" behindDoc="1" locked="0" layoutInCell="1" allowOverlap="1" wp14:anchorId="4255237B" wp14:editId="69D3E203">
                <wp:simplePos x="0" y="0"/>
                <wp:positionH relativeFrom="column">
                  <wp:posOffset>-895350</wp:posOffset>
                </wp:positionH>
                <wp:positionV relativeFrom="paragraph">
                  <wp:posOffset>-876300</wp:posOffset>
                </wp:positionV>
                <wp:extent cx="15144750" cy="10706100"/>
                <wp:effectExtent l="0" t="0" r="19050" b="19050"/>
                <wp:wrapNone/>
                <wp:docPr id="1190756930" name="Rectangle 7"/>
                <wp:cNvGraphicFramePr/>
                <a:graphic xmlns:a="http://schemas.openxmlformats.org/drawingml/2006/main">
                  <a:graphicData uri="http://schemas.microsoft.com/office/word/2010/wordprocessingShape">
                    <wps:wsp>
                      <wps:cNvSpPr/>
                      <wps:spPr>
                        <a:xfrm>
                          <a:off x="0" y="0"/>
                          <a:ext cx="15144750" cy="1070610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FB3A35" id="Rectangle 7" o:spid="_x0000_s1026" style="position:absolute;margin-left:-70.5pt;margin-top:-69pt;width:1192.5pt;height:843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" fillcolor="#2f5496 [2404]" strokecolor="#09101d [484]" strokeweight="1pt"/>
            </w:pict>
          </mc:Fallback>
        </mc:AlternateContent>
      </w:r>
    </w:p>
    <w:p w14:paraId="36849017" w14:textId="77777777" w:rsidR="00C06AC8" w:rsidRDefault="00C06AC8" w:rsidP="00C06AC8">
      <w:pPr>
        <w:pStyle w:val="CGPC-elearning"/>
        <w:ind w:left="360"/>
      </w:pPr>
    </w:p>
    <w:p w14:paraId="09C9991C" w14:textId="77777777" w:rsidR="00474044" w:rsidRDefault="00474044" w:rsidP="00C06AC8">
      <w:pPr>
        <w:pStyle w:val="CGPC-elearning"/>
        <w:ind w:left="360"/>
      </w:pPr>
    </w:p>
    <w:p w14:paraId="748B0520" w14:textId="77777777" w:rsidR="00474044" w:rsidRDefault="00474044" w:rsidP="00C06AC8">
      <w:pPr>
        <w:pStyle w:val="CGPC-elearning"/>
        <w:ind w:left="360"/>
      </w:pPr>
    </w:p>
    <w:p w14:paraId="39D65EB7" w14:textId="77777777" w:rsidR="00474044" w:rsidRDefault="00474044" w:rsidP="00C06AC8">
      <w:pPr>
        <w:pStyle w:val="CGPC-elearning"/>
        <w:ind w:left="360"/>
      </w:pPr>
    </w:p>
    <w:p w14:paraId="4328C8C1" w14:textId="77777777" w:rsidR="00474044" w:rsidRDefault="00474044" w:rsidP="00C06AC8">
      <w:pPr>
        <w:pStyle w:val="CGPC-elearning"/>
        <w:ind w:left="360"/>
      </w:pPr>
    </w:p>
    <w:p w14:paraId="29FEB7CF" w14:textId="77777777" w:rsidR="00474044" w:rsidRDefault="00474044" w:rsidP="00C06AC8">
      <w:pPr>
        <w:pStyle w:val="CGPC-elearning"/>
        <w:ind w:left="360"/>
      </w:pPr>
    </w:p>
    <w:p w14:paraId="552A3796" w14:textId="77777777" w:rsidR="00474044" w:rsidRDefault="00474044" w:rsidP="00C06AC8">
      <w:pPr>
        <w:pStyle w:val="CGPC-elearning"/>
        <w:ind w:left="360"/>
      </w:pPr>
    </w:p>
    <w:p w14:paraId="328E21F2" w14:textId="77777777" w:rsidR="00474044" w:rsidRDefault="00474044" w:rsidP="00C06AC8">
      <w:pPr>
        <w:pStyle w:val="CGPC-elearning"/>
        <w:ind w:left="360"/>
      </w:pPr>
    </w:p>
    <w:p w14:paraId="7E17E386" w14:textId="77777777" w:rsidR="00474044" w:rsidRDefault="00474044" w:rsidP="00C06AC8">
      <w:pPr>
        <w:pStyle w:val="CGPC-elearning"/>
        <w:ind w:left="360"/>
      </w:pPr>
    </w:p>
    <w:p w14:paraId="3EFDD4CD" w14:textId="77777777" w:rsidR="00474044" w:rsidRDefault="00474044" w:rsidP="00C06AC8">
      <w:pPr>
        <w:pStyle w:val="CGPC-elearning"/>
        <w:ind w:left="360"/>
      </w:pPr>
    </w:p>
    <w:p w14:paraId="16988CC3" w14:textId="6AFDEAC9" w:rsidR="00474044" w:rsidRDefault="00B81391" w:rsidP="009F566F">
      <w:pPr>
        <w:pStyle w:val="Titre2"/>
      </w:pPr>
      <w:bookmarkStart w:id="9" w:name="_Toc185503764"/>
      <w:r>
        <w:t>Les régimes conventionnels</w:t>
      </w:r>
      <w:bookmarkEnd w:id="9"/>
    </w:p>
    <w:p w14:paraId="2A252425" w14:textId="2B2190EC" w:rsidR="00474044" w:rsidRDefault="00474044" w:rsidP="00474044">
      <w:pPr>
        <w:jc w:val="center"/>
        <w:rPr>
          <w:rFonts w:cs="Open Sans"/>
          <w:bCs/>
          <w:kern w:val="2"/>
          <w:szCs w:val="36"/>
          <w14:ligatures w14:val="standardContextual"/>
        </w:rPr>
      </w:pPr>
      <w:r>
        <w:br w:type="page"/>
      </w:r>
      <w:r>
        <w:rPr>
          <w:noProof/>
          <w:lang w:eastAsia="fr-FR"/>
        </w:rPr>
        <w:lastRenderedPageBreak/>
        <w:drawing>
          <wp:inline distT="0" distB="0" distL="0" distR="0" wp14:anchorId="4BA319AD" wp14:editId="2DDE7107">
            <wp:extent cx="11911800" cy="7977352"/>
            <wp:effectExtent l="533400" t="457200" r="795020" b="805180"/>
            <wp:docPr id="1554298859" name="Image 15" descr="Une image contenant personne, plein air, habits, bais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298859" name="Image 15" descr="Une image contenant personne, plein air, habits, baiser&#10;&#10;Description générée automatiqu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915421" cy="7979777"/>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r>
        <w:br w:type="page"/>
      </w:r>
    </w:p>
    <w:p w14:paraId="3A5BE6E7" w14:textId="77777777" w:rsidR="00474044" w:rsidRDefault="00474044" w:rsidP="00474044">
      <w:pPr>
        <w:pStyle w:val="CGPC-elearning"/>
        <w:rPr>
          <w:rFonts w:eastAsiaTheme="majorEastAsia"/>
          <w:color w:val="3A5D9C"/>
          <w:sz w:val="48"/>
          <w:szCs w:val="26"/>
          <w:bdr w:val="none" w:sz="0" w:space="0" w:color="auto" w:frame="1"/>
        </w:rPr>
      </w:pPr>
    </w:p>
    <w:p w14:paraId="755CD679" w14:textId="77777777" w:rsidR="00B81391" w:rsidRPr="00B312C5" w:rsidRDefault="00B81391" w:rsidP="00B312C5">
      <w:pPr>
        <w:pStyle w:val="Titre3"/>
        <w:numPr>
          <w:ilvl w:val="0"/>
          <w:numId w:val="48"/>
        </w:numPr>
        <w:rPr>
          <w:szCs w:val="36"/>
        </w:rPr>
      </w:pPr>
      <w:bookmarkStart w:id="10" w:name="_Toc185503765"/>
      <w:r>
        <w:t>Notion de régime conventionnel</w:t>
      </w:r>
      <w:bookmarkEnd w:id="10"/>
    </w:p>
    <w:p w14:paraId="059CE4A9" w14:textId="77777777" w:rsidR="00B81391" w:rsidRDefault="00B81391" w:rsidP="00B81391">
      <w:pPr>
        <w:pStyle w:val="NormalWeb"/>
        <w:shd w:val="clear" w:color="auto" w:fill="FFFFFF"/>
        <w:spacing w:before="0" w:beforeAutospacing="0" w:after="0" w:afterAutospacing="0"/>
        <w:jc w:val="both"/>
        <w:textAlignment w:val="baseline"/>
        <w:rPr>
          <w:rStyle w:val="lev"/>
          <w:color w:val="666666"/>
          <w:sz w:val="21"/>
          <w:szCs w:val="21"/>
        </w:rPr>
      </w:pPr>
    </w:p>
    <w:p w14:paraId="6EFCCEE1" w14:textId="77777777" w:rsidR="00B81391" w:rsidRPr="00C06AC8" w:rsidRDefault="00B81391" w:rsidP="00611F4A">
      <w:pPr>
        <w:pStyle w:val="Titre4"/>
        <w:numPr>
          <w:ilvl w:val="0"/>
          <w:numId w:val="39"/>
        </w:numPr>
      </w:pPr>
      <w:r w:rsidRPr="00611F4A">
        <w:rPr>
          <w:rStyle w:val="lev"/>
          <w:b/>
        </w:rPr>
        <w:t>Les régimes matrimoniaux du Code civil</w:t>
      </w:r>
    </w:p>
    <w:p w14:paraId="7399835F" w14:textId="77777777" w:rsidR="00B81391" w:rsidRDefault="00B81391" w:rsidP="009F566F">
      <w:pPr>
        <w:pStyle w:val="CGPC-elearning"/>
      </w:pPr>
      <w:r>
        <w:t>Les époux peuvent choisir un </w:t>
      </w:r>
      <w:r>
        <w:rPr>
          <w:rStyle w:val="lev"/>
          <w:color w:val="666666"/>
          <w:sz w:val="21"/>
          <w:szCs w:val="21"/>
        </w:rPr>
        <w:t>autre régime</w:t>
      </w:r>
      <w:r>
        <w:t> que le régime légal de la communauté de biens réduite aux acquêts, ou y apporter des modifications conventionnelles. On parlera alors de régime conventionnel, lequel est établi par un contrat de mariage obligatoirement rédigé par un notaire.</w:t>
      </w:r>
    </w:p>
    <w:p w14:paraId="6351DA9B" w14:textId="77777777" w:rsidR="00B81391" w:rsidRDefault="00B81391" w:rsidP="009F566F">
      <w:pPr>
        <w:pStyle w:val="CGPC-elearning"/>
      </w:pPr>
      <w:r>
        <w:t>En effet, les époux sont libres d’aménager comme ils l’entendent leur régime matrimonial, afin de tenir compte de leur situation personnelle. En revanche, ils ne peuvent </w:t>
      </w:r>
      <w:r>
        <w:rPr>
          <w:rStyle w:val="lev"/>
          <w:color w:val="666666"/>
          <w:sz w:val="21"/>
          <w:szCs w:val="21"/>
        </w:rPr>
        <w:t xml:space="preserve">jamais </w:t>
      </w:r>
      <w:r w:rsidRPr="00C06AC8">
        <w:rPr>
          <w:rStyle w:val="lev"/>
          <w:color w:val="666666"/>
          <w:szCs w:val="24"/>
        </w:rPr>
        <w:t>déroger aux règles d’ordre public du régime primaire</w:t>
      </w:r>
      <w:r w:rsidRPr="00C06AC8">
        <w:rPr>
          <w:szCs w:val="24"/>
        </w:rPr>
        <w:t> </w:t>
      </w:r>
      <w:r>
        <w:t>(ou statut impératif de base).</w:t>
      </w:r>
    </w:p>
    <w:p w14:paraId="563C5954" w14:textId="77777777" w:rsidR="00B81391" w:rsidRDefault="00B81391" w:rsidP="009F566F">
      <w:pPr>
        <w:pStyle w:val="CGPC-elearning"/>
      </w:pPr>
      <w:r>
        <w:t>Le Code civil réglemente un certain nombre de régimes : le régime de la communauté universelle, le régime de la communauté de meubles et acquêts, le régime de la séparation de biens et le régime de la participation aux acquêts.</w:t>
      </w:r>
    </w:p>
    <w:p w14:paraId="643BD05E" w14:textId="77777777" w:rsidR="00C06AC8" w:rsidRDefault="00C06AC8" w:rsidP="009F566F">
      <w:pPr>
        <w:pStyle w:val="CGPC-elearning"/>
      </w:pPr>
    </w:p>
    <w:p w14:paraId="65B592B8" w14:textId="77777777" w:rsidR="00B81391" w:rsidRPr="00C06AC8" w:rsidRDefault="00B81391" w:rsidP="00611F4A">
      <w:pPr>
        <w:pStyle w:val="Titre4"/>
      </w:pPr>
      <w:r w:rsidRPr="00C06AC8">
        <w:rPr>
          <w:rStyle w:val="lev"/>
          <w:b/>
        </w:rPr>
        <w:t>Définition et approche du contrat de mariage</w:t>
      </w:r>
    </w:p>
    <w:p w14:paraId="01CA7E41" w14:textId="77777777" w:rsidR="00B81391" w:rsidRDefault="00B81391" w:rsidP="009F566F">
      <w:pPr>
        <w:pStyle w:val="CGPC-elearning"/>
      </w:pPr>
      <w:r>
        <w:t>Si les futurs époux ne souhaitent pas être soumis au régime matrimonial légal (communauté de biens réduite aux acquêts), ils doivent conclure un contrat de mariage par lequel ils déterminent le </w:t>
      </w:r>
      <w:r>
        <w:rPr>
          <w:rStyle w:val="lev"/>
          <w:color w:val="666666"/>
          <w:sz w:val="21"/>
          <w:szCs w:val="21"/>
        </w:rPr>
        <w:t>régime matrimonial qui leur sera applicable</w:t>
      </w:r>
      <w:r>
        <w:t>.</w:t>
      </w:r>
    </w:p>
    <w:p w14:paraId="505A3C2F" w14:textId="77777777" w:rsidR="00B81391" w:rsidRDefault="00B81391" w:rsidP="009F566F">
      <w:pPr>
        <w:pStyle w:val="CGPC-elearning"/>
      </w:pPr>
      <w:r>
        <w:t>C’est un acte solennel, qui doit obligatoirement être rédigé par un notaire.</w:t>
      </w:r>
    </w:p>
    <w:p w14:paraId="30C3B63D" w14:textId="77777777" w:rsidR="00B81391" w:rsidRDefault="00B81391" w:rsidP="009F566F">
      <w:pPr>
        <w:pStyle w:val="CGPC-elearning"/>
      </w:pPr>
      <w:r>
        <w:t>Lors de la conclusion du contrat, les époux peuvent :</w:t>
      </w:r>
    </w:p>
    <w:p w14:paraId="5F330080" w14:textId="77777777" w:rsidR="00B81391" w:rsidRDefault="00C06AC8" w:rsidP="009F566F">
      <w:pPr>
        <w:pStyle w:val="CGPC-elearning"/>
      </w:pPr>
      <w:r>
        <w:t xml:space="preserve">- </w:t>
      </w:r>
      <w:r w:rsidR="00B81391">
        <w:t>soit choisir un régime matrimonial type proposé par le Code civil (séparation de biens, communauté universelle…) ;</w:t>
      </w:r>
    </w:p>
    <w:p w14:paraId="42A70D22" w14:textId="77777777" w:rsidR="00B81391" w:rsidRDefault="00C06AC8" w:rsidP="009F566F">
      <w:pPr>
        <w:pStyle w:val="CGPC-elearning"/>
      </w:pPr>
      <w:r>
        <w:t xml:space="preserve">- </w:t>
      </w:r>
      <w:r w:rsidR="00B81391">
        <w:t>soit créer de toutes pièces un régime matrimonial adapté à leur situation.</w:t>
      </w:r>
    </w:p>
    <w:p w14:paraId="1DAFBB01" w14:textId="77777777" w:rsidR="00B81391" w:rsidRDefault="00B81391" w:rsidP="00C06AC8">
      <w:pPr>
        <w:pStyle w:val="CGPC-elearning"/>
        <w:numPr>
          <w:ilvl w:val="0"/>
          <w:numId w:val="40"/>
        </w:numPr>
      </w:pPr>
      <w:r w:rsidRPr="00C06AC8">
        <w:rPr>
          <w:rStyle w:val="lev"/>
          <w:color w:val="666666"/>
          <w:szCs w:val="24"/>
          <w:u w:val="single"/>
        </w:rPr>
        <w:t>Attention</w:t>
      </w:r>
      <w:r>
        <w:rPr>
          <w:bdr w:val="none" w:sz="0" w:space="0" w:color="auto" w:frame="1"/>
        </w:rPr>
        <w:br/>
      </w:r>
      <w:r>
        <w:t>En cas d’adoption d’un régime conventionnel, quelle qu’il soit, il faut respecter les règles d’ordre public, notamment celles concernant le régime primaire. C’est au notaire chargé de la rédaction du contrat d’y veiller.</w:t>
      </w:r>
    </w:p>
    <w:p w14:paraId="79A5CD2F" w14:textId="77777777" w:rsidR="00C06AC8" w:rsidRDefault="00C06AC8" w:rsidP="00C06AC8">
      <w:pPr>
        <w:pStyle w:val="CGPC-elearning"/>
        <w:ind w:left="720"/>
      </w:pPr>
    </w:p>
    <w:p w14:paraId="68BD6A46" w14:textId="77777777" w:rsidR="00B81391" w:rsidRPr="00C06AC8" w:rsidRDefault="00B81391" w:rsidP="00611F4A">
      <w:pPr>
        <w:pStyle w:val="Titre4"/>
      </w:pPr>
      <w:r w:rsidRPr="00C06AC8">
        <w:rPr>
          <w:rStyle w:val="lev"/>
          <w:b/>
        </w:rPr>
        <w:lastRenderedPageBreak/>
        <w:t>Quand rédiger le contrat ?</w:t>
      </w:r>
    </w:p>
    <w:p w14:paraId="45A2F657" w14:textId="77777777" w:rsidR="00B81391" w:rsidRDefault="00B81391" w:rsidP="009F566F">
      <w:pPr>
        <w:pStyle w:val="CGPC-elearning"/>
      </w:pPr>
      <w:r>
        <w:t>Le contrat de mariage doit être conclu </w:t>
      </w:r>
      <w:r>
        <w:rPr>
          <w:rStyle w:val="lev"/>
          <w:color w:val="666666"/>
          <w:sz w:val="21"/>
          <w:szCs w:val="21"/>
        </w:rPr>
        <w:t>avant</w:t>
      </w:r>
      <w:r>
        <w:t> la célébration du mariage. Par conséquent, tant que le mariage n’a pas été célébré, il est toujours possible d’y apporter des modifications.</w:t>
      </w:r>
    </w:p>
    <w:p w14:paraId="17D14B90" w14:textId="77777777" w:rsidR="00B81391" w:rsidRDefault="00B81391" w:rsidP="009F566F">
      <w:pPr>
        <w:pStyle w:val="CGPC-elearning"/>
      </w:pPr>
      <w:r>
        <w:t>Le contrat ne produit ses effets </w:t>
      </w:r>
      <w:r>
        <w:rPr>
          <w:rStyle w:val="lev"/>
          <w:color w:val="666666"/>
          <w:sz w:val="21"/>
          <w:szCs w:val="21"/>
        </w:rPr>
        <w:t>qu’au jour du mariage</w:t>
      </w:r>
      <w:r>
        <w:t>. Le notaire conserve l’original du contrat en son étude. Il remet aux époux un certificat qui devra être transmis à l’officier d’état civil. L’existence d’un contrat de mariage doit être mentionnée sur l’acte de mariage.</w:t>
      </w:r>
    </w:p>
    <w:p w14:paraId="534C92A0" w14:textId="77777777" w:rsidR="00B81391" w:rsidRDefault="00B81391" w:rsidP="00C06AC8">
      <w:pPr>
        <w:pStyle w:val="CGPC-elearning"/>
        <w:numPr>
          <w:ilvl w:val="0"/>
          <w:numId w:val="41"/>
        </w:numPr>
      </w:pPr>
      <w:r w:rsidRPr="00C06AC8">
        <w:rPr>
          <w:rStyle w:val="lev"/>
          <w:color w:val="666666"/>
          <w:szCs w:val="24"/>
        </w:rPr>
        <w:t xml:space="preserve">Remarque </w:t>
      </w:r>
      <w:r>
        <w:rPr>
          <w:rStyle w:val="lev"/>
          <w:color w:val="666666"/>
          <w:sz w:val="21"/>
          <w:szCs w:val="21"/>
        </w:rPr>
        <w:t>:</w:t>
      </w:r>
      <w:r>
        <w:t> la nullité du contrat de mariage n’emporte pas pour autant la nullité du mariage lui-même.</w:t>
      </w:r>
    </w:p>
    <w:p w14:paraId="3BA1F09F" w14:textId="77777777" w:rsidR="00C06AC8" w:rsidRDefault="00C06AC8" w:rsidP="00C06AC8">
      <w:pPr>
        <w:pStyle w:val="CGPC-elearning"/>
        <w:ind w:left="720"/>
      </w:pPr>
    </w:p>
    <w:p w14:paraId="4E98DE33" w14:textId="77777777" w:rsidR="00B81391" w:rsidRDefault="00C06AC8" w:rsidP="00B312C5">
      <w:pPr>
        <w:pStyle w:val="Titre3"/>
      </w:pPr>
      <w:bookmarkStart w:id="11" w:name="_Toc185503766"/>
      <w:r>
        <w:t>Le r</w:t>
      </w:r>
      <w:r w:rsidR="00B81391">
        <w:t>égime de la séparation de biens</w:t>
      </w:r>
      <w:bookmarkEnd w:id="11"/>
    </w:p>
    <w:p w14:paraId="59912D95" w14:textId="77777777" w:rsidR="00B81391" w:rsidRPr="00B81391" w:rsidRDefault="00B81391" w:rsidP="00B81391">
      <w:pPr>
        <w:rPr>
          <w:lang w:eastAsia="fr-FR"/>
        </w:rPr>
      </w:pPr>
    </w:p>
    <w:p w14:paraId="449A613B" w14:textId="77777777" w:rsidR="00B81391" w:rsidRPr="00C06AC8" w:rsidRDefault="00B81391" w:rsidP="00611F4A">
      <w:pPr>
        <w:pStyle w:val="Titre4"/>
        <w:numPr>
          <w:ilvl w:val="0"/>
          <w:numId w:val="42"/>
        </w:numPr>
      </w:pPr>
      <w:r w:rsidRPr="00611F4A">
        <w:rPr>
          <w:rStyle w:val="lev"/>
          <w:b/>
        </w:rPr>
        <w:t>Principe</w:t>
      </w:r>
    </w:p>
    <w:p w14:paraId="7190EA60" w14:textId="77777777" w:rsidR="00B81391" w:rsidRDefault="00B81391" w:rsidP="009F566F">
      <w:pPr>
        <w:pStyle w:val="CGPC-elearning"/>
      </w:pPr>
      <w:r>
        <w:t>Dans le régime de la séparation de biens, le principe (sauf aménagement conventionnel) est le suivant : tout est séparé, à savoir l’actif patrimonial, le passif patrimonial (à l’exception des dettes ménagères visées par le régime primaire) et la gestion des biens.</w:t>
      </w:r>
    </w:p>
    <w:p w14:paraId="5F7C4BD3" w14:textId="77777777" w:rsidR="00C06AC8" w:rsidRDefault="00C06AC8" w:rsidP="009F566F">
      <w:pPr>
        <w:pStyle w:val="CGPC-elearning"/>
      </w:pPr>
    </w:p>
    <w:p w14:paraId="3E75CDAC" w14:textId="77777777" w:rsidR="00B81391" w:rsidRPr="00C06AC8" w:rsidRDefault="00C06AC8" w:rsidP="00611F4A">
      <w:pPr>
        <w:pStyle w:val="Titre4"/>
      </w:pPr>
      <w:r w:rsidRPr="00C06AC8">
        <w:rPr>
          <w:rStyle w:val="lev"/>
          <w:b/>
        </w:rPr>
        <w:t>La g</w:t>
      </w:r>
      <w:r w:rsidR="00B81391" w:rsidRPr="00C06AC8">
        <w:rPr>
          <w:rStyle w:val="lev"/>
          <w:b/>
        </w:rPr>
        <w:t>estion des biens</w:t>
      </w:r>
    </w:p>
    <w:p w14:paraId="4860082A" w14:textId="77777777" w:rsidR="00B81391" w:rsidRDefault="00B81391" w:rsidP="009F566F">
      <w:pPr>
        <w:pStyle w:val="CGPC-elearning"/>
      </w:pPr>
      <w:r>
        <w:t>Chaque époux conserve </w:t>
      </w:r>
      <w:r>
        <w:rPr>
          <w:rStyle w:val="lev"/>
          <w:color w:val="666666"/>
          <w:sz w:val="21"/>
          <w:szCs w:val="21"/>
        </w:rPr>
        <w:t>l’administration, la jouissance et la libre disposition</w:t>
      </w:r>
      <w:r>
        <w:t> de ses biens personnels. Il n’existe pas de patrimoine commun aux deux époux, mais seulement deux patrimoines indépendants : les biens personnels de chacun des deux époux (mais il peut exister des biens indivis, c’est-à-dire acquis conjointement par les deux époux).</w:t>
      </w:r>
    </w:p>
    <w:p w14:paraId="27261471" w14:textId="77777777" w:rsidR="00B81391" w:rsidRDefault="00B81391" w:rsidP="009F566F">
      <w:pPr>
        <w:pStyle w:val="CGPC-elearning"/>
      </w:pPr>
      <w:r>
        <w:t>Ce régime est également dominé par la séparation des pouvoirs : chaque époux est autonome et indépendant dans la gestion de ses biens personnels.</w:t>
      </w:r>
    </w:p>
    <w:p w14:paraId="7AEAFD14" w14:textId="77777777" w:rsidR="00B81391" w:rsidRPr="00C06AC8" w:rsidRDefault="00C06AC8" w:rsidP="00611F4A">
      <w:pPr>
        <w:pStyle w:val="Titre4"/>
      </w:pPr>
      <w:r w:rsidRPr="00C06AC8">
        <w:rPr>
          <w:rStyle w:val="lev"/>
          <w:b/>
        </w:rPr>
        <w:t>La s</w:t>
      </w:r>
      <w:r w:rsidR="00B81391" w:rsidRPr="00C06AC8">
        <w:rPr>
          <w:rStyle w:val="lev"/>
          <w:b/>
        </w:rPr>
        <w:t>ociété d’acquêts</w:t>
      </w:r>
    </w:p>
    <w:p w14:paraId="23FBD3CA" w14:textId="77777777" w:rsidR="00B81391" w:rsidRDefault="00B81391" w:rsidP="009F566F">
      <w:pPr>
        <w:pStyle w:val="CGPC-elearning"/>
      </w:pPr>
      <w:r>
        <w:t>Une clause du contrat de mariage peut prévoir l’adoption d’une « société d’acquêts ». Par cette clause, les époux soumettent certains biens aux règles de la communauté : se trouve ainsi créée une communauté de biens (et non des biens communs !) dont ils définissent le contenu et pour laquelle ils fixent les règles de gestion. Le terme de société d’acquêts, fréquemment utilisé, est trompeur, car il ne s’agit pas d’une société et elle ne concerne pas que les acquêts…</w:t>
      </w:r>
    </w:p>
    <w:p w14:paraId="0EF8B90A" w14:textId="77777777" w:rsidR="00B81391" w:rsidRDefault="00B81391" w:rsidP="009F566F">
      <w:pPr>
        <w:pStyle w:val="CGPC-elearning"/>
      </w:pPr>
      <w:r>
        <w:t xml:space="preserve">La société d’acquêts porte généralement sur le logement de la famille. Elle peut inclure une société civile détenant des biens immobiliers (résidence principale ou secondaire) acquis pendant ou avant le mariage. À défaut de disposition contraire, ces biens sont soumis aux règles du régime légal, en termes notamment </w:t>
      </w:r>
      <w:r>
        <w:lastRenderedPageBreak/>
        <w:t>de pouvoir de gestion et pour la liquidation, et il est possible de les soumettre aux mêmes clauses qu’en régime de communauté (préciput, partage inégal, attribution intégrale…).</w:t>
      </w:r>
    </w:p>
    <w:p w14:paraId="76DF6123" w14:textId="77777777" w:rsidR="00B81391" w:rsidRDefault="00B81391" w:rsidP="009F566F">
      <w:pPr>
        <w:pStyle w:val="CGPC-elearning"/>
      </w:pPr>
      <w:r>
        <w:t>Cette clause est uniquement issue de la pratique notariale et peut faire débat en ce qui concerne sa sécurité juridique.</w:t>
      </w:r>
    </w:p>
    <w:p w14:paraId="729E77DE" w14:textId="77777777" w:rsidR="00C06AC8" w:rsidRDefault="00C06AC8" w:rsidP="009F566F">
      <w:pPr>
        <w:pStyle w:val="CGPC-elearning"/>
      </w:pPr>
    </w:p>
    <w:p w14:paraId="44697F1A" w14:textId="77777777" w:rsidR="00C06AC8" w:rsidRDefault="00C06AC8" w:rsidP="009F566F">
      <w:pPr>
        <w:pStyle w:val="CGPC-elearning"/>
      </w:pPr>
    </w:p>
    <w:p w14:paraId="1E3DE13D" w14:textId="77777777" w:rsidR="00B81391" w:rsidRDefault="00C06AC8" w:rsidP="00B312C5">
      <w:pPr>
        <w:pStyle w:val="Titre3"/>
        <w:rPr>
          <w:szCs w:val="36"/>
        </w:rPr>
      </w:pPr>
      <w:bookmarkStart w:id="12" w:name="_Toc185503767"/>
      <w:r>
        <w:t>Le r</w:t>
      </w:r>
      <w:r w:rsidR="00B81391">
        <w:t>égime de la participation aux acquêts</w:t>
      </w:r>
      <w:bookmarkEnd w:id="12"/>
    </w:p>
    <w:p w14:paraId="46F69E00" w14:textId="77777777" w:rsidR="00B81391" w:rsidRDefault="00B81391" w:rsidP="009F566F">
      <w:pPr>
        <w:pStyle w:val="CGPC-elearning"/>
        <w:rPr>
          <w:rStyle w:val="lev"/>
          <w:color w:val="666666"/>
          <w:sz w:val="21"/>
          <w:szCs w:val="21"/>
        </w:rPr>
      </w:pPr>
    </w:p>
    <w:p w14:paraId="7E1852B8" w14:textId="77777777" w:rsidR="00B81391" w:rsidRPr="00C06AC8" w:rsidRDefault="00B81391" w:rsidP="00611F4A">
      <w:pPr>
        <w:pStyle w:val="Titre4"/>
      </w:pPr>
      <w:r w:rsidRPr="00C06AC8">
        <w:rPr>
          <w:rStyle w:val="lev"/>
          <w:b/>
          <w:bCs/>
        </w:rPr>
        <w:t>La combinaison de régimes</w:t>
      </w:r>
    </w:p>
    <w:p w14:paraId="062A4C31" w14:textId="77777777" w:rsidR="00B81391" w:rsidRDefault="00B81391" w:rsidP="009F566F">
      <w:pPr>
        <w:pStyle w:val="CGPC-elearning"/>
      </w:pPr>
      <w:r w:rsidRPr="00B81391">
        <w:t>Le régime de la participation aux acquêts combine les systèmes de la commun</w:t>
      </w:r>
      <w:r>
        <w:t>auté et de la séparation de biens : il fonctionne comme le régime de séparation de biens pendant le mariage et comme celui de la communauté à la dissolution du mariage. Il présente donc l’avantage d’assurer l’indépendance des patrimoines, avec la protection des époux en cas d’endettement de l’autre, durant le mariage, tout en protégeant le conjoint le plus démuni lors de la dissolution du régime.</w:t>
      </w:r>
    </w:p>
    <w:p w14:paraId="1FB9A448" w14:textId="77777777" w:rsidR="00B81391" w:rsidRDefault="00B81391" w:rsidP="009F566F">
      <w:pPr>
        <w:pStyle w:val="CGPC-elearning"/>
      </w:pPr>
      <w:r>
        <w:t>En effet, lors de la liquidation du régime, chaque époux a le droit de participer à la moitié, en valeur, des acquêts réalisés par son conjoint : l’époux qui s’est le moins enrichi durant le mariage pourra réclamer une somme d’argent à l’autre appelée créance de participation.</w:t>
      </w:r>
    </w:p>
    <w:p w14:paraId="2FE025A4" w14:textId="77777777" w:rsidR="00C06AC8" w:rsidRDefault="00C06AC8" w:rsidP="009F566F">
      <w:pPr>
        <w:pStyle w:val="CGPC-elearning"/>
      </w:pPr>
    </w:p>
    <w:p w14:paraId="4510C2FE" w14:textId="77777777" w:rsidR="00B81391" w:rsidRPr="00C06AC8" w:rsidRDefault="00C06AC8" w:rsidP="00611F4A">
      <w:pPr>
        <w:pStyle w:val="Titre4"/>
      </w:pPr>
      <w:r w:rsidRPr="00C06AC8">
        <w:rPr>
          <w:rStyle w:val="lev"/>
          <w:b/>
        </w:rPr>
        <w:t>Le c</w:t>
      </w:r>
      <w:r w:rsidR="00B81391" w:rsidRPr="00C06AC8">
        <w:rPr>
          <w:rStyle w:val="lev"/>
          <w:b/>
        </w:rPr>
        <w:t>alcul de l’acquêt net</w:t>
      </w:r>
    </w:p>
    <w:p w14:paraId="2F156FE1" w14:textId="77777777" w:rsidR="00B81391" w:rsidRDefault="00B81391" w:rsidP="009F566F">
      <w:pPr>
        <w:pStyle w:val="CGPC-elearning"/>
      </w:pPr>
      <w:r>
        <w:t>Pour ce faire, on calcule l’acquêt net de chacun des époux, qui est égal à la différence entre le patrimoine à la dissolution du mariage (appelé patrimoine final) et le patrimoine lors du mariage (appelé patrimoine originaire).</w:t>
      </w:r>
    </w:p>
    <w:p w14:paraId="6471C9E7" w14:textId="77777777" w:rsidR="00B81391" w:rsidRDefault="00B81391" w:rsidP="009F566F">
      <w:pPr>
        <w:pStyle w:val="CGPC-elearning"/>
      </w:pPr>
      <w:r>
        <w:t>Le patrimoine originaire est défini à l’article 1570 du Code civil.</w:t>
      </w:r>
    </w:p>
    <w:p w14:paraId="7C5B8179" w14:textId="77777777" w:rsidR="00B81391" w:rsidRDefault="00B81391" w:rsidP="009F566F">
      <w:pPr>
        <w:pStyle w:val="CGPC-elearning"/>
      </w:pPr>
      <w:r>
        <w:t>Le patrimoine final est défini à l’article 1572 du Code civil.</w:t>
      </w:r>
    </w:p>
    <w:p w14:paraId="5D830800" w14:textId="77777777" w:rsidR="00C06AC8" w:rsidRDefault="00C06AC8" w:rsidP="009F566F">
      <w:pPr>
        <w:pStyle w:val="CGPC-elearning"/>
      </w:pPr>
    </w:p>
    <w:p w14:paraId="06D6CA62" w14:textId="77777777" w:rsidR="00C06AC8" w:rsidRDefault="00C06AC8" w:rsidP="009F566F">
      <w:pPr>
        <w:pStyle w:val="CGPC-elearning"/>
      </w:pPr>
    </w:p>
    <w:p w14:paraId="791ED808" w14:textId="77777777" w:rsidR="00C06AC8" w:rsidRDefault="00C06AC8" w:rsidP="009F566F">
      <w:pPr>
        <w:pStyle w:val="CGPC-elearning"/>
      </w:pPr>
    </w:p>
    <w:p w14:paraId="2F52A138" w14:textId="77777777" w:rsidR="00B81391" w:rsidRDefault="00C06AC8" w:rsidP="00B312C5">
      <w:pPr>
        <w:pStyle w:val="Titre3"/>
      </w:pPr>
      <w:bookmarkStart w:id="13" w:name="_Toc185503768"/>
      <w:r>
        <w:lastRenderedPageBreak/>
        <w:t>Le r</w:t>
      </w:r>
      <w:r w:rsidR="00B81391">
        <w:t>égime de la communauté universelle</w:t>
      </w:r>
      <w:bookmarkEnd w:id="13"/>
    </w:p>
    <w:p w14:paraId="0FFFB3FE" w14:textId="77777777" w:rsidR="00B81391" w:rsidRPr="00B81391" w:rsidRDefault="00B81391" w:rsidP="00B81391">
      <w:pPr>
        <w:rPr>
          <w:lang w:eastAsia="fr-FR"/>
        </w:rPr>
      </w:pPr>
    </w:p>
    <w:p w14:paraId="5FA8D829" w14:textId="096BE5C7" w:rsidR="00B81391" w:rsidRPr="00C06AC8" w:rsidRDefault="00474044" w:rsidP="00611F4A">
      <w:pPr>
        <w:pStyle w:val="Titre4"/>
        <w:numPr>
          <w:ilvl w:val="0"/>
          <w:numId w:val="43"/>
        </w:numPr>
      </w:pPr>
      <w:r>
        <w:rPr>
          <w:noProof/>
          <w:lang w:eastAsia="fr-FR"/>
        </w:rPr>
        <w:t xml:space="preserve"> </w:t>
      </w:r>
      <w:r w:rsidR="00B81391" w:rsidRPr="00611F4A">
        <w:rPr>
          <w:rStyle w:val="lev"/>
          <w:b/>
          <w:bCs/>
        </w:rPr>
        <w:t>Un seul patrimoine</w:t>
      </w:r>
    </w:p>
    <w:p w14:paraId="6B798245" w14:textId="77777777" w:rsidR="00C06AC8" w:rsidRDefault="00B81391" w:rsidP="009F566F">
      <w:pPr>
        <w:pStyle w:val="CGPC-elearning"/>
      </w:pPr>
      <w:r w:rsidRPr="00B81391">
        <w:t>La </w:t>
      </w:r>
      <w:r w:rsidRPr="00B81391">
        <w:rPr>
          <w:rStyle w:val="lev"/>
          <w:b w:val="0"/>
          <w:bCs/>
        </w:rPr>
        <w:t>communauté universelle</w:t>
      </w:r>
      <w:r w:rsidRPr="00B81391">
        <w:t> permet aux époux de mettre en commun tous leurs biens et toutes leurs dettes. Il n’existe donc qu’</w:t>
      </w:r>
      <w:r w:rsidRPr="00B81391">
        <w:rPr>
          <w:rStyle w:val="lev"/>
          <w:b w:val="0"/>
          <w:bCs/>
        </w:rPr>
        <w:t>une seule masse</w:t>
      </w:r>
      <w:r w:rsidRPr="00B81391">
        <w:t> de biens, un seul patrimoine : celui de la communauté.</w:t>
      </w:r>
    </w:p>
    <w:p w14:paraId="2F87880E" w14:textId="77777777" w:rsidR="00C06AC8" w:rsidRPr="00B81391" w:rsidRDefault="00C06AC8" w:rsidP="009F566F">
      <w:pPr>
        <w:pStyle w:val="CGPC-elearning"/>
      </w:pPr>
    </w:p>
    <w:p w14:paraId="7D7B45A4" w14:textId="77777777" w:rsidR="00B81391" w:rsidRPr="00C06AC8" w:rsidRDefault="00C06AC8" w:rsidP="00611F4A">
      <w:pPr>
        <w:pStyle w:val="Titre4"/>
      </w:pPr>
      <w:r w:rsidRPr="00C06AC8">
        <w:rPr>
          <w:rStyle w:val="Titre4Car"/>
          <w:b/>
        </w:rPr>
        <w:t>La c</w:t>
      </w:r>
      <w:r w:rsidR="00B81391" w:rsidRPr="00C06AC8">
        <w:rPr>
          <w:rStyle w:val="Titre4Car"/>
          <w:b/>
        </w:rPr>
        <w:t>omposition du patrimoine (actif et passif commun</w:t>
      </w:r>
      <w:r w:rsidR="00B81391" w:rsidRPr="00C06AC8">
        <w:rPr>
          <w:rStyle w:val="lev"/>
          <w:b/>
          <w:bCs/>
        </w:rPr>
        <w:t>)</w:t>
      </w:r>
    </w:p>
    <w:p w14:paraId="7D2BAC7F" w14:textId="77777777" w:rsidR="00B81391" w:rsidRPr="00B81391" w:rsidRDefault="00C06AC8" w:rsidP="009F566F">
      <w:pPr>
        <w:pStyle w:val="CGPC-elearning"/>
      </w:pPr>
      <w:r>
        <w:t>En conséquence</w:t>
      </w:r>
      <w:r w:rsidR="00B81391" w:rsidRPr="00B81391">
        <w:t>, l’actif commun se compose de tous les biens, présents comme futurs, meubles ou immeubles. Toutefois, sauf dispositions contraires, les meubles qui ont un caractère personnel ne sont pas communs (biens propres par nature : vêtements, dommages et intérêts…).</w:t>
      </w:r>
    </w:p>
    <w:p w14:paraId="0F857129" w14:textId="77777777" w:rsidR="00B81391" w:rsidRPr="00B81391" w:rsidRDefault="00B81391" w:rsidP="009F566F">
      <w:pPr>
        <w:pStyle w:val="CGPC-elearning"/>
      </w:pPr>
      <w:r w:rsidRPr="00B81391">
        <w:t>Le passif commun se compose, quant à lui, de toutes les dettes contractées avant ou pendant le mariage.</w:t>
      </w:r>
    </w:p>
    <w:p w14:paraId="0D52F077" w14:textId="77777777" w:rsidR="00B81391" w:rsidRDefault="00B81391" w:rsidP="009F566F">
      <w:pPr>
        <w:pStyle w:val="CGPC-elearning"/>
      </w:pPr>
      <w:r w:rsidRPr="00B81391">
        <w:t>Les règles applicables en matière de gestion des biens sont identiques à celles du régime légal de la communauté réduite aux acquêts.</w:t>
      </w:r>
    </w:p>
    <w:p w14:paraId="41DFAC0B" w14:textId="77777777" w:rsidR="00C06AC8" w:rsidRDefault="00C06AC8" w:rsidP="009F566F">
      <w:pPr>
        <w:pStyle w:val="CGPC-elearning"/>
      </w:pPr>
    </w:p>
    <w:p w14:paraId="3CD7FF48" w14:textId="77777777" w:rsidR="00C06AC8" w:rsidRPr="00B81391" w:rsidRDefault="00C06AC8" w:rsidP="009F566F">
      <w:pPr>
        <w:pStyle w:val="CGPC-elearning"/>
      </w:pPr>
    </w:p>
    <w:p w14:paraId="45694C77" w14:textId="77777777" w:rsidR="00B81391" w:rsidRDefault="00B81391" w:rsidP="00B312C5">
      <w:pPr>
        <w:pStyle w:val="Titre3"/>
      </w:pPr>
      <w:bookmarkStart w:id="14" w:name="_Toc185503769"/>
      <w:r>
        <w:t>Régime de la communauté de meubles et acquêts</w:t>
      </w:r>
      <w:bookmarkEnd w:id="14"/>
    </w:p>
    <w:p w14:paraId="521B07A2" w14:textId="77777777" w:rsidR="009F566F" w:rsidRDefault="00B81391" w:rsidP="009F566F">
      <w:pPr>
        <w:pStyle w:val="CGPC-elearning"/>
      </w:pPr>
      <w:r w:rsidRPr="00E678EF">
        <w:t>L’ancien régime légal de la </w:t>
      </w:r>
      <w:r w:rsidRPr="00E678EF">
        <w:rPr>
          <w:rStyle w:val="lev"/>
          <w:b w:val="0"/>
          <w:bCs/>
        </w:rPr>
        <w:t>communauté des meubles et acquêts</w:t>
      </w:r>
      <w:r w:rsidRPr="00E678EF">
        <w:t xml:space="preserve"> est désormais devenu un régime conventionnel. </w:t>
      </w:r>
      <w:r w:rsidR="00C06AC8">
        <w:br/>
      </w:r>
      <w:r w:rsidRPr="00E678EF">
        <w:t>La communauté se compose alors de tous les acquêts, ainsi que des meubles détenus au jour du mariage ou acquis à titre onéreux ou par succession ou libéralité durant le mariage, excepté ceux ayant une nature propre en raison de leur caractère personnel, ou ceux pour lesquels le testateur ou le donateur écarte l’entrée en communauté.</w:t>
      </w:r>
    </w:p>
    <w:p w14:paraId="7200BAE6" w14:textId="77777777" w:rsidR="009F566F" w:rsidRDefault="009F566F" w:rsidP="009F566F">
      <w:pPr>
        <w:pStyle w:val="CGPC-elearning"/>
      </w:pPr>
      <w:r>
        <w:br w:type="page"/>
      </w:r>
    </w:p>
    <w:p w14:paraId="45ACFA62" w14:textId="453B5672" w:rsidR="00E6132B" w:rsidRDefault="00C21566" w:rsidP="00E6132B">
      <w:r>
        <w:rPr>
          <w:noProof/>
          <w14:ligatures w14:val="standardContextual"/>
        </w:rPr>
        <w:lastRenderedPageBreak/>
        <mc:AlternateContent>
          <mc:Choice Requires="wps">
            <w:drawing>
              <wp:anchor distT="0" distB="0" distL="114300" distR="114300" simplePos="0" relativeHeight="251663360" behindDoc="1" locked="0" layoutInCell="1" allowOverlap="1" wp14:anchorId="1070369F" wp14:editId="0092729F">
                <wp:simplePos x="0" y="0"/>
                <wp:positionH relativeFrom="column">
                  <wp:posOffset>-895350</wp:posOffset>
                </wp:positionH>
                <wp:positionV relativeFrom="paragraph">
                  <wp:posOffset>-895350</wp:posOffset>
                </wp:positionV>
                <wp:extent cx="15125700" cy="10668000"/>
                <wp:effectExtent l="0" t="0" r="19050" b="19050"/>
                <wp:wrapNone/>
                <wp:docPr id="456383435" name="Rectangle 8"/>
                <wp:cNvGraphicFramePr/>
                <a:graphic xmlns:a="http://schemas.openxmlformats.org/drawingml/2006/main">
                  <a:graphicData uri="http://schemas.microsoft.com/office/word/2010/wordprocessingShape">
                    <wps:wsp>
                      <wps:cNvSpPr/>
                      <wps:spPr>
                        <a:xfrm>
                          <a:off x="0" y="0"/>
                          <a:ext cx="15125700" cy="1066800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58B019" id="Rectangle 8" o:spid="_x0000_s1026" style="position:absolute;margin-left:-70.5pt;margin-top:-70.5pt;width:1191pt;height:840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" fillcolor="#2f5496 [2404]" strokecolor="#09101d [484]" strokeweight="1pt"/>
            </w:pict>
          </mc:Fallback>
        </mc:AlternateContent>
      </w:r>
    </w:p>
    <w:p w14:paraId="788C3E98" w14:textId="77777777" w:rsidR="00E6132B" w:rsidRDefault="00E6132B" w:rsidP="00E6132B"/>
    <w:p w14:paraId="34C045A4" w14:textId="77777777" w:rsidR="00E6132B" w:rsidRDefault="00E6132B" w:rsidP="00E6132B"/>
    <w:p w14:paraId="5C385E28" w14:textId="77777777" w:rsidR="00E6132B" w:rsidRDefault="00E6132B" w:rsidP="00E6132B"/>
    <w:p w14:paraId="680C8D41" w14:textId="77777777" w:rsidR="00E6132B" w:rsidRDefault="00E6132B" w:rsidP="00E6132B"/>
    <w:p w14:paraId="7976985B" w14:textId="77777777" w:rsidR="00E6132B" w:rsidRDefault="00E6132B" w:rsidP="00E6132B"/>
    <w:p w14:paraId="3BB03212" w14:textId="77777777" w:rsidR="00E6132B" w:rsidRDefault="00E6132B" w:rsidP="00E6132B"/>
    <w:p w14:paraId="7E9F5AD9" w14:textId="77777777" w:rsidR="00E6132B" w:rsidRDefault="00E6132B" w:rsidP="00E6132B"/>
    <w:p w14:paraId="709AC065" w14:textId="77777777" w:rsidR="00E6132B" w:rsidRDefault="00E6132B" w:rsidP="00E6132B"/>
    <w:p w14:paraId="0B2FD775" w14:textId="77777777" w:rsidR="00E6132B" w:rsidRDefault="00E6132B" w:rsidP="00E6132B"/>
    <w:p w14:paraId="73B3BE71" w14:textId="77777777" w:rsidR="00E6132B" w:rsidRDefault="00E6132B" w:rsidP="00E6132B"/>
    <w:p w14:paraId="31866B01" w14:textId="77777777" w:rsidR="00E6132B" w:rsidRDefault="00E6132B" w:rsidP="00E6132B"/>
    <w:p w14:paraId="210EFCB9" w14:textId="519DE5D1" w:rsidR="00E6132B" w:rsidRPr="00E6132B" w:rsidRDefault="00B81391" w:rsidP="00E6132B">
      <w:pPr>
        <w:pStyle w:val="Titre2"/>
      </w:pPr>
      <w:bookmarkStart w:id="15" w:name="_Toc185503770"/>
      <w:r w:rsidRPr="00E6132B">
        <w:t>L’extranéité en matière de mariage</w:t>
      </w:r>
      <w:bookmarkEnd w:id="15"/>
    </w:p>
    <w:p w14:paraId="5F01B4EB" w14:textId="0BD85C2C" w:rsidR="00E6132B" w:rsidRDefault="00E6132B" w:rsidP="00AA4475">
      <w:pPr>
        <w:jc w:val="center"/>
        <w:rPr>
          <w:rFonts w:cs="Open Sans"/>
          <w:bCs/>
          <w:kern w:val="2"/>
          <w:szCs w:val="36"/>
          <w14:ligatures w14:val="standardContextual"/>
        </w:rPr>
      </w:pPr>
      <w:r>
        <w:br w:type="page"/>
      </w:r>
      <w:r>
        <w:rPr>
          <w:noProof/>
          <w:lang w:eastAsia="fr-FR"/>
        </w:rPr>
        <w:lastRenderedPageBreak/>
        <w:drawing>
          <wp:inline distT="0" distB="0" distL="0" distR="0" wp14:anchorId="2D809569" wp14:editId="1E7AB157">
            <wp:extent cx="10979620" cy="7296150"/>
            <wp:effectExtent l="533400" t="457200" r="793750" b="800100"/>
            <wp:docPr id="871180987" name="Image 7" descr="Une image contenant personne, mariée, robe de mariée, fl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180987" name="Image 7" descr="Une image contenant personne, mariée, robe de mariée, fleur&#10;&#10;Description générée automatiquemen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81768" cy="7297577"/>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r>
        <w:br w:type="page"/>
      </w:r>
    </w:p>
    <w:p w14:paraId="26F85294" w14:textId="77777777" w:rsidR="00E6132B" w:rsidRDefault="00E6132B" w:rsidP="00E6132B">
      <w:pPr>
        <w:pStyle w:val="CGPC-elearning"/>
        <w:rPr>
          <w:rFonts w:eastAsiaTheme="majorEastAsia"/>
          <w:color w:val="3A5D9C"/>
          <w:sz w:val="48"/>
          <w:szCs w:val="26"/>
          <w:bdr w:val="none" w:sz="0" w:space="0" w:color="auto" w:frame="1"/>
        </w:rPr>
      </w:pPr>
    </w:p>
    <w:p w14:paraId="02BC5718" w14:textId="77777777" w:rsidR="00B81391" w:rsidRPr="009F566F" w:rsidRDefault="00B81391" w:rsidP="00B312C5">
      <w:pPr>
        <w:pStyle w:val="Titre3"/>
        <w:numPr>
          <w:ilvl w:val="0"/>
          <w:numId w:val="49"/>
        </w:numPr>
      </w:pPr>
      <w:bookmarkStart w:id="16" w:name="_Toc185503771"/>
      <w:r w:rsidRPr="009F566F">
        <w:t>En présence d’un contrat de mariage</w:t>
      </w:r>
      <w:bookmarkEnd w:id="16"/>
    </w:p>
    <w:p w14:paraId="0E65E300" w14:textId="77777777" w:rsidR="00E678EF" w:rsidRPr="00E678EF" w:rsidRDefault="00E678EF" w:rsidP="00E678EF">
      <w:pPr>
        <w:rPr>
          <w:lang w:eastAsia="fr-FR"/>
        </w:rPr>
      </w:pPr>
    </w:p>
    <w:p w14:paraId="75C24214" w14:textId="799E1408" w:rsidR="00B81391" w:rsidRDefault="00B81391" w:rsidP="009F566F">
      <w:pPr>
        <w:pStyle w:val="CGPC-elearning"/>
      </w:pPr>
      <w:r>
        <w:t>La plupart des droits nationaux reconnaissent aux époux la faculté de définir, contractuellement, l’organisation de leur vie maritale en termes de pouvoirs d’administration et de disposition des biens appartenant à l’un et/ou à l’autre des époux.</w:t>
      </w:r>
    </w:p>
    <w:p w14:paraId="386DEA42" w14:textId="77777777" w:rsidR="00B81391" w:rsidRDefault="00B81391" w:rsidP="009F566F">
      <w:pPr>
        <w:pStyle w:val="CGPC-elearning"/>
      </w:pPr>
      <w:r>
        <w:t>Dans les pays de tradition civiliste (France, Italie, Allemagne…), les futurs époux choisiront, dans un contrat de mariage, le régime matrimonial, qui régira la gestion et l’attribution de leurs biens à la fois pendant leur mariage et lors de la dissolution (par décès ou divorce) de celui-ci.</w:t>
      </w:r>
    </w:p>
    <w:p w14:paraId="6BC0BC84" w14:textId="77777777" w:rsidR="00B81391" w:rsidRDefault="00B81391" w:rsidP="009F566F">
      <w:pPr>
        <w:pStyle w:val="CGPC-elearning"/>
      </w:pPr>
      <w:r>
        <w:t>Dans les pays dits de Common Law (Grande-Bretagne, États-Unis, Canada…), la notion de régime matrimonial n’existe pas à proprement parler. Cependant, il est possible de régulariser un contrat (« pr</w:t>
      </w:r>
      <w:r w:rsidR="00E678EF">
        <w:t>é</w:t>
      </w:r>
      <w:r>
        <w:t xml:space="preserve"> nuptial agreement » ou « post nuptial agreement ») dont l’objet recoupe, globalement, celui des contrats de mariage de droit civil et pourra même parfois aller au-delà (fixation des pensions alimentaires et de l’équivalent des prestations compensatoires).</w:t>
      </w:r>
    </w:p>
    <w:p w14:paraId="5C0D0C49" w14:textId="77777777" w:rsidR="00B81391" w:rsidRDefault="00B81391" w:rsidP="009F566F">
      <w:pPr>
        <w:pStyle w:val="CGPC-elearning"/>
      </w:pPr>
      <w:r>
        <w:t>Dans une situation comme dans l’autre, la règle sera ici simple : pendant toute la durée du mariage, les époux seront soumis au régime matrimonial qu’ils auront librement choisi.</w:t>
      </w:r>
    </w:p>
    <w:p w14:paraId="7B9D41EE" w14:textId="77777777" w:rsidR="00B81391" w:rsidRDefault="00B81391" w:rsidP="009F566F">
      <w:pPr>
        <w:pStyle w:val="CGPC-elearning"/>
      </w:pPr>
      <w:r>
        <w:t>Depuis le 29 janvier 2019, date de l’entrée en vigueur du règlement (UE) 2016/1103 du 24 juin 2016, les époux peuvent choisir la loi de leur résidence habituelle au moment du choix ou la loi d’un des États dont au moins un des conjoints possède la nationalité.</w:t>
      </w:r>
    </w:p>
    <w:p w14:paraId="5AF73980" w14:textId="77777777" w:rsidR="00B81391" w:rsidRDefault="00B81391" w:rsidP="009F566F">
      <w:pPr>
        <w:pStyle w:val="CGPC-elearning"/>
      </w:pPr>
      <w:r>
        <w:t>Le choix du contrat de mariage sera en général « à double détente ». Dans un premier temps, les époux choisiront la loi du pays à laquelle ils entendent se soumettre (exemple : loi française). Puis, à l’intérieur de cette loi, ils choisiront parmi les différents régimes matrimoniaux existants (exemple : communauté réduite aux acquêts, communauté universelle, séparation de biens ou participation aux acquêts).</w:t>
      </w:r>
    </w:p>
    <w:p w14:paraId="5965CF05" w14:textId="77777777" w:rsidR="00611F4A" w:rsidRDefault="00611F4A" w:rsidP="009F566F">
      <w:pPr>
        <w:pStyle w:val="CGPC-elearning"/>
      </w:pPr>
    </w:p>
    <w:p w14:paraId="31C3E5C2" w14:textId="77777777" w:rsidR="00B81391" w:rsidRDefault="00B81391" w:rsidP="00B312C5">
      <w:pPr>
        <w:pStyle w:val="Titre3"/>
      </w:pPr>
      <w:bookmarkStart w:id="17" w:name="_Toc185503772"/>
      <w:r>
        <w:t>En l’absence de contrat de mariage</w:t>
      </w:r>
      <w:bookmarkEnd w:id="17"/>
    </w:p>
    <w:p w14:paraId="43520F61" w14:textId="77777777" w:rsidR="00E678EF" w:rsidRPr="00E678EF" w:rsidRDefault="00E678EF" w:rsidP="00E678EF">
      <w:pPr>
        <w:rPr>
          <w:lang w:eastAsia="fr-FR"/>
        </w:rPr>
      </w:pPr>
    </w:p>
    <w:p w14:paraId="26386ECF" w14:textId="77777777" w:rsidR="00B81391" w:rsidRPr="00E678EF" w:rsidRDefault="00B81391" w:rsidP="009F566F">
      <w:pPr>
        <w:pStyle w:val="CGPC-elearning"/>
      </w:pPr>
      <w:r w:rsidRPr="00E678EF">
        <w:t>La détermination du régime matrimonial est plus compliquée. Le fait de ne pas avoir régularisé de contrat de mariage n’empêche pas les époux d’être nécessairement soumis à un régime matrimonial.</w:t>
      </w:r>
    </w:p>
    <w:p w14:paraId="5DFFD077" w14:textId="77777777" w:rsidR="00B81391" w:rsidRPr="00E678EF" w:rsidRDefault="00B81391" w:rsidP="009F566F">
      <w:pPr>
        <w:pStyle w:val="CGPC-elearning"/>
      </w:pPr>
      <w:r w:rsidRPr="00E678EF">
        <w:t>On va rechercher la loi que les époux ont implicitement choisi pour définir leur régime matrimonial. La solution varie selon que les époux se sont mariés avant le 1er septembre 1992, entre le 1er septembre 1992 et le 29 janvier 2019 ou après le 29 janvier 2019.</w:t>
      </w:r>
    </w:p>
    <w:p w14:paraId="39ED5A32" w14:textId="77777777" w:rsidR="00B81391" w:rsidRPr="00611F4A" w:rsidRDefault="00B81391" w:rsidP="00611F4A">
      <w:pPr>
        <w:pStyle w:val="Titre4"/>
        <w:numPr>
          <w:ilvl w:val="0"/>
          <w:numId w:val="44"/>
        </w:numPr>
      </w:pPr>
      <w:r w:rsidRPr="00611F4A">
        <w:rPr>
          <w:rStyle w:val="lev"/>
          <w:b/>
          <w:bCs/>
        </w:rPr>
        <w:lastRenderedPageBreak/>
        <w:t>Époux mariés avant le 1er septembre 1992</w:t>
      </w:r>
    </w:p>
    <w:p w14:paraId="61A9F865" w14:textId="77777777" w:rsidR="00B81391" w:rsidRPr="00E678EF" w:rsidRDefault="00B81391" w:rsidP="009F566F">
      <w:pPr>
        <w:pStyle w:val="CGPC-elearning"/>
      </w:pPr>
      <w:r w:rsidRPr="00E678EF">
        <w:t>Pour les époux mariés avant cette date, les règles françaises de conflits de lois retiennent le principe de l’autonomie de la volonté, </w:t>
      </w:r>
      <w:r w:rsidRPr="00E678EF">
        <w:rPr>
          <w:rStyle w:val="lev"/>
          <w:b w:val="0"/>
          <w:bCs/>
        </w:rPr>
        <w:t>c’est-à-dire la loi que les époux sont réputés avoir implicitement choisi</w:t>
      </w:r>
      <w:r w:rsidRPr="00E678EF">
        <w:t>.</w:t>
      </w:r>
    </w:p>
    <w:p w14:paraId="50AB186D" w14:textId="77777777" w:rsidR="00B81391" w:rsidRPr="00E678EF" w:rsidRDefault="00B81391" w:rsidP="009F566F">
      <w:pPr>
        <w:pStyle w:val="CGPC-elearning"/>
      </w:pPr>
      <w:r w:rsidRPr="00E678EF">
        <w:t>Le critère retenu pour déterminer cette loi est celui du premier domicile matrimonial des époux. Toutefois, pour que ce critère soit déterminant, la jurisprudence exige que ce premier domicile matrimonial présente un caractère de stabilité. Aussi, il est en général exigé que ce premier domicile ait duré au moins 2 ans.</w:t>
      </w:r>
    </w:p>
    <w:p w14:paraId="4ED4F05A" w14:textId="77777777" w:rsidR="00B81391" w:rsidRPr="00E678EF" w:rsidRDefault="00B81391" w:rsidP="009F566F">
      <w:pPr>
        <w:pStyle w:val="CGPC-elearning"/>
      </w:pPr>
      <w:r w:rsidRPr="00E678EF">
        <w:rPr>
          <w:noProof/>
          <w:lang w:eastAsia="fr-FR"/>
        </w:rPr>
        <w:drawing>
          <wp:inline distT="0" distB="0" distL="0" distR="0" wp14:anchorId="2BCEF03C" wp14:editId="76042ED9">
            <wp:extent cx="285115" cy="189865"/>
            <wp:effectExtent l="0" t="0" r="635" b="635"/>
            <wp:docPr id="1900471886" name="Image 5" descr="Une image contenant Graphique, graphisme, clipart,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471886" name="Image 5" descr="Une image contenant Graphique, graphisme, clipart, art&#10;&#10;Description générée automatiquemen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5115" cy="189865"/>
                    </a:xfrm>
                    <a:prstGeom prst="rect">
                      <a:avLst/>
                    </a:prstGeom>
                    <a:noFill/>
                    <a:ln>
                      <a:noFill/>
                    </a:ln>
                  </pic:spPr>
                </pic:pic>
              </a:graphicData>
            </a:graphic>
          </wp:inline>
        </w:drawing>
      </w:r>
      <w:r w:rsidRPr="00E678EF">
        <w:t> </w:t>
      </w:r>
      <w:r w:rsidRPr="00E678EF">
        <w:rPr>
          <w:rStyle w:val="lev"/>
          <w:b w:val="0"/>
          <w:bCs/>
        </w:rPr>
        <w:t>Exemple</w:t>
      </w:r>
      <w:r w:rsidRPr="00E678EF">
        <w:t> </w:t>
      </w:r>
      <w:r w:rsidRPr="00E678EF">
        <w:rPr>
          <w:rStyle w:val="Accentuation"/>
          <w:i w:val="0"/>
          <w:iCs w:val="0"/>
        </w:rPr>
        <w:t>lorsque les époux, mariés avant le 1er septembre 1992, ont résidé pendant au moins 2 ans en Italie, leur régime matrimonial sera le régime matrimonial légal italien.</w:t>
      </w:r>
    </w:p>
    <w:p w14:paraId="5A1595F8" w14:textId="77777777" w:rsidR="00B81391" w:rsidRDefault="00B81391" w:rsidP="009F566F">
      <w:pPr>
        <w:pStyle w:val="CGPC-elearning"/>
        <w:rPr>
          <w:rStyle w:val="Accentuation"/>
          <w:i w:val="0"/>
          <w:iCs w:val="0"/>
        </w:rPr>
      </w:pPr>
      <w:r w:rsidRPr="00E678EF">
        <w:rPr>
          <w:rStyle w:val="Accentuation"/>
          <w:i w:val="0"/>
          <w:iCs w:val="0"/>
        </w:rPr>
        <w:t>Le régime matrimonial ne pourra être modifié que par la volonté expresse des époux (voir changement de régime matrimonial).</w:t>
      </w:r>
    </w:p>
    <w:p w14:paraId="09272CCE" w14:textId="77777777" w:rsidR="00611F4A" w:rsidRPr="00E678EF" w:rsidRDefault="00611F4A" w:rsidP="009F566F">
      <w:pPr>
        <w:pStyle w:val="CGPC-elearning"/>
      </w:pPr>
    </w:p>
    <w:p w14:paraId="3EEE88EB" w14:textId="77777777" w:rsidR="00B81391" w:rsidRPr="00611F4A" w:rsidRDefault="00B81391" w:rsidP="00611F4A">
      <w:pPr>
        <w:pStyle w:val="Titre4"/>
      </w:pPr>
      <w:r w:rsidRPr="00611F4A">
        <w:rPr>
          <w:rStyle w:val="lev"/>
          <w:b/>
          <w:bCs/>
        </w:rPr>
        <w:t>Époux mariés entre le 1er septembre 1992 et le 29 janvier 2019</w:t>
      </w:r>
    </w:p>
    <w:p w14:paraId="60076E0B" w14:textId="77777777" w:rsidR="00B81391" w:rsidRPr="00E678EF" w:rsidRDefault="00B81391" w:rsidP="009F566F">
      <w:pPr>
        <w:pStyle w:val="CGPC-elearning"/>
      </w:pPr>
      <w:r w:rsidRPr="00E678EF">
        <w:t>Les règles applicables ont été fixées par la Convention de La Haye de 1978.</w:t>
      </w:r>
    </w:p>
    <w:p w14:paraId="18159190" w14:textId="77777777" w:rsidR="00B81391" w:rsidRPr="00E678EF" w:rsidRDefault="00B81391" w:rsidP="009F566F">
      <w:pPr>
        <w:pStyle w:val="CGPC-elearning"/>
      </w:pPr>
      <w:r w:rsidRPr="00E678EF">
        <w:t>Ces règles posent un principe et plusieurs exceptions.</w:t>
      </w:r>
    </w:p>
    <w:p w14:paraId="0E7DF491" w14:textId="77777777" w:rsidR="00B81391" w:rsidRPr="00E678EF" w:rsidRDefault="00B81391" w:rsidP="009F566F">
      <w:pPr>
        <w:pStyle w:val="CGPC-elearning"/>
      </w:pPr>
      <w:r w:rsidRPr="00E678EF">
        <w:t>Le principe est que la loi applicable aux époux est la loi de l’État sur le territoire duquel les époux établissent leur première résidence habituelle après le mariage. Ici, contrairement aux époux mariés avant le 1er septembre 1992, il n’est exigé aucune durée pour cette résidence habituelle. Cette loi déterminée, le régime matrimonial des époux sera, une nouvelle fois, le régime matrimonial légal de ce pays (exemple : communauté de biens réduite aux acquêts en France).</w:t>
      </w:r>
    </w:p>
    <w:p w14:paraId="111C1B72" w14:textId="77777777" w:rsidR="00B81391" w:rsidRPr="00E678EF" w:rsidRDefault="00B81391" w:rsidP="009F566F">
      <w:pPr>
        <w:pStyle w:val="CGPC-elearning"/>
      </w:pPr>
      <w:r w:rsidRPr="00E678EF">
        <w:t>Plusieurs exceptions sont prévues. Ces exceptions ont en commun de désigner la loi nationale commune des époux comme loi applicable aux époux, au lieu et place de la loi du lieu de résidence habituelle. Ces exceptions ne peuvent jouer que pour des époux ayant une nationalité commune et une seule.</w:t>
      </w:r>
    </w:p>
    <w:p w14:paraId="7E55A3CD" w14:textId="77777777" w:rsidR="00B81391" w:rsidRPr="00E678EF" w:rsidRDefault="00B81391" w:rsidP="009F566F">
      <w:pPr>
        <w:pStyle w:val="CGPC-elearning"/>
      </w:pPr>
      <w:r w:rsidRPr="00E678EF">
        <w:t>La loi nationale commune des époux sera ainsi applicable :</w:t>
      </w:r>
    </w:p>
    <w:p w14:paraId="3679E2F0" w14:textId="77777777" w:rsidR="00B81391" w:rsidRPr="00E678EF" w:rsidRDefault="00B81391" w:rsidP="009F566F">
      <w:pPr>
        <w:pStyle w:val="CGPC-elearning"/>
      </w:pPr>
      <w:r w:rsidRPr="00E678EF">
        <w:t>En l’absence de résidence habituelle des époux sur le territoire d’un même État après leur mariage ;</w:t>
      </w:r>
    </w:p>
    <w:p w14:paraId="7D03E794" w14:textId="77777777" w:rsidR="00B81391" w:rsidRPr="00E678EF" w:rsidRDefault="00B81391" w:rsidP="009F566F">
      <w:pPr>
        <w:pStyle w:val="CGPC-elearning"/>
      </w:pPr>
      <w:r w:rsidRPr="00E678EF">
        <w:t>Lorsque les époux sont tous deux de nationalité néerlandaise (sauf si ces derniers résident en France ou au Luxembourg depuis 5 ans, qu’ils s’y marient et continuent d’y résider. Dans ce cas, ils seront soumis à la loi française ou luxembourgeoise) ;</w:t>
      </w:r>
    </w:p>
    <w:p w14:paraId="19D8032B" w14:textId="77777777" w:rsidR="00B81391" w:rsidRPr="00E678EF" w:rsidRDefault="00B81391" w:rsidP="009F566F">
      <w:pPr>
        <w:pStyle w:val="CGPC-elearning"/>
      </w:pPr>
      <w:r w:rsidRPr="00E678EF">
        <w:t xml:space="preserve">Lorsque les époux ont tous deux la nationalité de l’un des pays suivants (Afghanistan, Albanie, Algérie, Allemagne, Angola, Autriche, Belgique (jusqu’au 1er octobre 2004), Bulgarie, Cap Vert, Corée, Egypte, Emirats Arabes Unis, Espagne, Finlande, Grèce, Hongrie, Indonésie, Irak, Italie, Japon, Jordanie, Koweit, Liban, Liechtenstein, Maroc, Pologne, Portugal, Roumanie, Sénégal, Somalie, Suède, Syrie, Tchad, Rép. Tchèque, Rép. Slovaque, Thaïlande, Tunisie, Turquie, Vatican, Yougoslavie, Haïti, Rép. Dominicaine, Surinam) et établissent leur première résidence habituelle dans un autre de ces mêmes pays. Il en va de même pour deux époux de nationalité néerlandaise établissant la première résidence habituelle sur le territoire de l’un de ces États. Ils seront alors soumis à leur loi nationale </w:t>
      </w:r>
      <w:r w:rsidRPr="00E678EF">
        <w:lastRenderedPageBreak/>
        <w:t>commune. Réciproquement, les nationaux de l’un des pays listés établissant leur première résidence habituelle aux Pays-Bas seront soumis à leur loi nationale commune.</w:t>
      </w:r>
    </w:p>
    <w:p w14:paraId="0EFE3967" w14:textId="77777777" w:rsidR="00B81391" w:rsidRDefault="00B81391" w:rsidP="009F566F">
      <w:pPr>
        <w:pStyle w:val="CGPC-elearning"/>
      </w:pPr>
      <w:r w:rsidRPr="00E678EF">
        <w:t>La Convention de La Haye de 1978 crée une grande incertitude juridique en prévoyant la mutabilité automatique du régime matrimonial en cas de déménagement des époux dans un autre pays : les époux sont soumis automatiquement au régime matrimonial légal de leur nouveau pays d’accueil.</w:t>
      </w:r>
    </w:p>
    <w:p w14:paraId="49ECE169" w14:textId="77777777" w:rsidR="00611F4A" w:rsidRPr="00E678EF" w:rsidRDefault="00611F4A" w:rsidP="009F566F">
      <w:pPr>
        <w:pStyle w:val="CGPC-elearning"/>
      </w:pPr>
    </w:p>
    <w:p w14:paraId="1F904D71" w14:textId="77777777" w:rsidR="00B81391" w:rsidRPr="00611F4A" w:rsidRDefault="00B81391" w:rsidP="00611F4A">
      <w:pPr>
        <w:pStyle w:val="Titre4"/>
      </w:pPr>
      <w:r w:rsidRPr="00611F4A">
        <w:rPr>
          <w:rStyle w:val="lev"/>
          <w:b/>
          <w:bCs/>
        </w:rPr>
        <w:t>Époux mariés après le 29 janvier 2019</w:t>
      </w:r>
    </w:p>
    <w:p w14:paraId="7DF7A8C9" w14:textId="77777777" w:rsidR="00B81391" w:rsidRPr="00E678EF" w:rsidRDefault="00B81391" w:rsidP="009F566F">
      <w:pPr>
        <w:pStyle w:val="CGPC-elearning"/>
      </w:pPr>
      <w:r w:rsidRPr="00E678EF">
        <w:t>Les règles applicables sont issues du règlement (UE) 2016/1103 du 24 juin 2016.</w:t>
      </w:r>
    </w:p>
    <w:p w14:paraId="211324D4" w14:textId="77777777" w:rsidR="00B81391" w:rsidRPr="00E678EF" w:rsidRDefault="00B81391" w:rsidP="009F566F">
      <w:pPr>
        <w:pStyle w:val="CGPC-elearning"/>
      </w:pPr>
      <w:r w:rsidRPr="00E678EF">
        <w:t>Le régime matrimonial résulte de la loi de la première résidence habituelle des époux ; à défaut, « la loi interne de l’État avec lequel, compte tenu de toutes les circonstances, les époux présentent les liens les plus étroits ».</w:t>
      </w:r>
    </w:p>
    <w:p w14:paraId="76788B97" w14:textId="77777777" w:rsidR="00611F4A" w:rsidRDefault="00B81391" w:rsidP="00611F4A">
      <w:pPr>
        <w:pStyle w:val="CGPC-elearning"/>
      </w:pPr>
      <w:r w:rsidRPr="00E678EF">
        <w:t>Cette loi restera applicable au régime matrimonial durant le mariage (principe d’unité de la loi), même si les époux décident de résider dans un autre pays. Il n’y a donc plus de mutabilité automatique.</w:t>
      </w:r>
    </w:p>
    <w:p w14:paraId="09901100" w14:textId="77777777" w:rsidR="00611F4A" w:rsidRDefault="00611F4A" w:rsidP="00611F4A">
      <w:pPr>
        <w:pStyle w:val="CGPC-elearning"/>
      </w:pPr>
    </w:p>
    <w:p w14:paraId="76E8EB43" w14:textId="77777777" w:rsidR="00B81391" w:rsidRDefault="00611F4A" w:rsidP="00B312C5">
      <w:pPr>
        <w:pStyle w:val="Titre3"/>
      </w:pPr>
      <w:r>
        <w:t xml:space="preserve"> </w:t>
      </w:r>
      <w:bookmarkStart w:id="18" w:name="_Toc185503773"/>
      <w:r>
        <w:t>C</w:t>
      </w:r>
      <w:r w:rsidR="00B81391">
        <w:t>hangement de régime matrimonial</w:t>
      </w:r>
      <w:bookmarkEnd w:id="18"/>
    </w:p>
    <w:p w14:paraId="6096675E" w14:textId="77777777" w:rsidR="00E678EF" w:rsidRPr="00E678EF" w:rsidRDefault="00E678EF" w:rsidP="00E678EF">
      <w:pPr>
        <w:rPr>
          <w:lang w:eastAsia="fr-FR"/>
        </w:rPr>
      </w:pPr>
    </w:p>
    <w:p w14:paraId="2F99CAED" w14:textId="610E7A29" w:rsidR="00B81391" w:rsidRPr="00611F4A" w:rsidRDefault="00B312C5" w:rsidP="00611F4A">
      <w:pPr>
        <w:pStyle w:val="Titre4"/>
        <w:numPr>
          <w:ilvl w:val="0"/>
          <w:numId w:val="45"/>
        </w:numPr>
      </w:pPr>
      <w:r>
        <w:rPr>
          <w:rStyle w:val="lev"/>
          <w:b/>
          <w:bCs/>
        </w:rPr>
        <w:t xml:space="preserve"> </w:t>
      </w:r>
      <w:r w:rsidR="00B81391" w:rsidRPr="00611F4A">
        <w:rPr>
          <w:rStyle w:val="lev"/>
          <w:b/>
          <w:bCs/>
        </w:rPr>
        <w:t>Le changement de régime matrimonial « subi »</w:t>
      </w:r>
    </w:p>
    <w:p w14:paraId="3A0AA137" w14:textId="77777777" w:rsidR="00B81391" w:rsidRPr="00E678EF" w:rsidRDefault="00B81391" w:rsidP="009F566F">
      <w:pPr>
        <w:pStyle w:val="CGPC-elearning"/>
      </w:pPr>
      <w:r w:rsidRPr="00E678EF">
        <w:t>Si les époux ont régularisé un contrat de mariage ou s’ils sont mariés avant le 1er septembre 1992, ils ne peuvent changer de régime matrimonial sans volonté contraire expresse de leur part.</w:t>
      </w:r>
    </w:p>
    <w:p w14:paraId="44D7A0E2" w14:textId="77777777" w:rsidR="00B81391" w:rsidRDefault="00B81391" w:rsidP="009F566F">
      <w:pPr>
        <w:pStyle w:val="CGPC-elearning"/>
      </w:pPr>
      <w:r w:rsidRPr="00E678EF">
        <w:rPr>
          <w:noProof/>
          <w:lang w:eastAsia="fr-FR"/>
        </w:rPr>
        <w:drawing>
          <wp:inline distT="0" distB="0" distL="0" distR="0" wp14:anchorId="6C13509C" wp14:editId="4706E78C">
            <wp:extent cx="189865" cy="189865"/>
            <wp:effectExtent l="0" t="0" r="635" b="635"/>
            <wp:docPr id="1923524289" name="Image 3" descr="Une image contenant capture d’écran, dessin humoris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524289" name="Image 3" descr="Une image contenant capture d’écran, dessin humoristique&#10;&#10;Description générée automatiquemen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E678EF">
        <w:rPr>
          <w:rStyle w:val="lev"/>
          <w:b w:val="0"/>
          <w:bCs/>
        </w:rPr>
        <w:t> Attention</w:t>
      </w:r>
      <w:r w:rsidRPr="00E678EF">
        <w:t>, lorsque les époux sont mariés après le 1er septembre 1992 et avant le 29 janvier 2019 et qu’ils n’ont pas fait de contrat de</w:t>
      </w:r>
      <w:r>
        <w:t xml:space="preserve"> mariage, ils peuvent être confrontés à un changement de leur régime matrimonial du seul fait de leur changement de lieu de résidence.</w:t>
      </w:r>
    </w:p>
    <w:p w14:paraId="1F43D924" w14:textId="77777777" w:rsidR="00B81391" w:rsidRDefault="00B81391" w:rsidP="009F566F">
      <w:pPr>
        <w:pStyle w:val="CGPC-elearning"/>
      </w:pPr>
      <w:r>
        <w:t>Il faut distinguer 2 hypothèses :</w:t>
      </w:r>
    </w:p>
    <w:p w14:paraId="08EE0828" w14:textId="77777777" w:rsidR="00B81391" w:rsidRDefault="00B81391" w:rsidP="009F566F">
      <w:pPr>
        <w:pStyle w:val="CGPC-elearning"/>
      </w:pPr>
      <w:r>
        <w:t>Les époux fixent leur nouvelle résidence habituelle sur le territoire de l’État dont ils ont tous deux la nationalité. En pareil cas, ils sont automatiquement et immédiatement soumis à la loi de cet État. Par exemple, deux Français ayant vécu aux États-Unis reviennent s’installer en France. Ils seront de facto soumis à la foi française et, par conséquent, au régime légal de la communauté d’acquêts ;</w:t>
      </w:r>
    </w:p>
    <w:p w14:paraId="2EBBA459" w14:textId="77777777" w:rsidR="00B81391" w:rsidRDefault="00B81391" w:rsidP="009F566F">
      <w:pPr>
        <w:pStyle w:val="CGPC-elearning"/>
      </w:pPr>
      <w:r>
        <w:t>Les époux ont fixé leur résidence habituelle pendant au moins 10 ans dans un pays différent de celui de leur première résidence matrimoniale. En pareil cas, ils sont soumis, à compter de la 11e année, à la loi de l’État de ce nouveau pays de résidence.</w:t>
      </w:r>
    </w:p>
    <w:p w14:paraId="6F9CBE8D" w14:textId="77777777" w:rsidR="00B81391" w:rsidRDefault="00B81391" w:rsidP="009F566F">
      <w:pPr>
        <w:pStyle w:val="CGPC-elearning"/>
      </w:pPr>
      <w:r>
        <w:lastRenderedPageBreak/>
        <w:t>Pour éviter que les époux ne subissent ces changements de régimes matrimoniaux par leur « simple » déménagement, il est fortement recommandé, en cas de mariage d’époux de nationalités différentes ou si les époux envisagent de résider dans un pays autre que celui de leur nationalité commune, de régulariser un contrat de mariage devant notaire afin de figer leur régime matrimonial, ou, à tout le moins, d’éviter que ce régime matrimonial ne soit modifié sans manifestation expresse de volonté des époux.</w:t>
      </w:r>
    </w:p>
    <w:p w14:paraId="6B47075A" w14:textId="77777777" w:rsidR="00B81391" w:rsidRDefault="00B81391" w:rsidP="009F566F">
      <w:pPr>
        <w:pStyle w:val="CGPC-elearning"/>
      </w:pPr>
      <w:r>
        <w:t>Cette difficulté a disparu pour les couples mariés après le 29 janvier 2019, date d’entrée en vigueur du règlement (UE) 2016/1103 du 24 juin 2016 qui a supprimé la mutabilité automatique du régime matrimonial.</w:t>
      </w:r>
    </w:p>
    <w:p w14:paraId="1EF209B3" w14:textId="77777777" w:rsidR="00611F4A" w:rsidRDefault="00611F4A" w:rsidP="009F566F">
      <w:pPr>
        <w:pStyle w:val="CGPC-elearning"/>
      </w:pPr>
    </w:p>
    <w:p w14:paraId="466AD133" w14:textId="0371638B" w:rsidR="00B81391" w:rsidRPr="00611F4A" w:rsidRDefault="00B312C5" w:rsidP="00611F4A">
      <w:pPr>
        <w:pStyle w:val="Titre4"/>
      </w:pPr>
      <w:r>
        <w:rPr>
          <w:rStyle w:val="lev"/>
          <w:b/>
        </w:rPr>
        <w:t xml:space="preserve"> </w:t>
      </w:r>
      <w:r w:rsidR="00B81391" w:rsidRPr="00611F4A">
        <w:rPr>
          <w:rStyle w:val="lev"/>
          <w:b/>
        </w:rPr>
        <w:t>Le changement de régime matrimonial volontaire</w:t>
      </w:r>
    </w:p>
    <w:p w14:paraId="0AE85BB6" w14:textId="77777777" w:rsidR="00B81391" w:rsidRDefault="00B81391" w:rsidP="009F566F">
      <w:pPr>
        <w:pStyle w:val="CGPC-elearning"/>
      </w:pPr>
      <w:r>
        <w:t>Les époux peuvent décider de changer de régime matrimonial conformément à la loi qui lui applicable.</w:t>
      </w:r>
    </w:p>
    <w:p w14:paraId="0F1301DA" w14:textId="77777777" w:rsidR="00B81391" w:rsidRDefault="00B81391" w:rsidP="009F566F">
      <w:pPr>
        <w:pStyle w:val="CGPC-elearning"/>
      </w:pPr>
      <w:r>
        <w:t>Il leur est également possible, tant en application de l’article 6 de la Convention de La Haye de 1978 que de l’article 22 du règlement (UE) 2016/1103 du 24 juin 2016, de modifier la loi applicable à leur régime matrimonial.</w:t>
      </w:r>
    </w:p>
    <w:p w14:paraId="673ACC87" w14:textId="77777777" w:rsidR="00B81391" w:rsidRDefault="00B81391" w:rsidP="009F566F">
      <w:pPr>
        <w:pStyle w:val="CGPC-elearning"/>
      </w:pPr>
      <w:r>
        <w:t>Ce changement volontaire peut s’effectuer à tout moment et pour tous les époux, qu’ils se soient mariés avant ou après 1992, avant ou après 2019, avec ou sans contrat de mariage.</w:t>
      </w:r>
    </w:p>
    <w:p w14:paraId="55C54A0F" w14:textId="77777777" w:rsidR="00B81391" w:rsidRDefault="00B81391" w:rsidP="009F566F">
      <w:pPr>
        <w:pStyle w:val="CGPC-elearning"/>
      </w:pPr>
      <w:r>
        <w:t>Le choix des époux est limité aux lois suivantes :</w:t>
      </w:r>
    </w:p>
    <w:p w14:paraId="0CB6F453" w14:textId="77777777" w:rsidR="00B81391" w:rsidRDefault="00B81391" w:rsidP="009F566F">
      <w:pPr>
        <w:pStyle w:val="CGPC-elearning"/>
      </w:pPr>
      <w:r>
        <w:t>loi de la résidence habituelle d’un des époux ;</w:t>
      </w:r>
    </w:p>
    <w:p w14:paraId="61C7C395" w14:textId="77777777" w:rsidR="00B81391" w:rsidRDefault="00B81391" w:rsidP="009F566F">
      <w:pPr>
        <w:pStyle w:val="CGPC-elearning"/>
      </w:pPr>
      <w:r>
        <w:t>loi de la nationalité d’un des époux.</w:t>
      </w:r>
    </w:p>
    <w:p w14:paraId="47A70425" w14:textId="053D522C" w:rsidR="00B312C5" w:rsidRDefault="00B81391" w:rsidP="009F566F">
      <w:pPr>
        <w:pStyle w:val="CGPC-elearning"/>
      </w:pPr>
      <w:r>
        <w:t>La loi choisie en cours de mariage s’applique à l’ensemble des biens des époux, sous réserve, bien entendu, des droits des tiers, et sauf volonté contraire des époux.</w:t>
      </w:r>
    </w:p>
    <w:p w14:paraId="1C8605CD" w14:textId="77777777" w:rsidR="00B312C5" w:rsidRDefault="00B312C5" w:rsidP="00B312C5">
      <w:pPr>
        <w:pStyle w:val="CGPC-elearning"/>
      </w:pPr>
      <w:r>
        <w:br w:type="page"/>
      </w:r>
    </w:p>
    <w:p w14:paraId="39B58F0A" w14:textId="5BACA8EE" w:rsidR="00B81391" w:rsidRDefault="00AA4475" w:rsidP="009F566F">
      <w:pPr>
        <w:pStyle w:val="CGPC-elearning"/>
      </w:pPr>
      <w:r>
        <w:rPr>
          <w:noProof/>
        </w:rPr>
        <w:lastRenderedPageBreak/>
        <mc:AlternateContent>
          <mc:Choice Requires="wps">
            <w:drawing>
              <wp:anchor distT="0" distB="0" distL="114300" distR="114300" simplePos="0" relativeHeight="251664384" behindDoc="1" locked="0" layoutInCell="1" allowOverlap="1" wp14:anchorId="09D9AB79" wp14:editId="0D43F5F6">
                <wp:simplePos x="0" y="0"/>
                <wp:positionH relativeFrom="column">
                  <wp:posOffset>-895350</wp:posOffset>
                </wp:positionH>
                <wp:positionV relativeFrom="paragraph">
                  <wp:posOffset>-895350</wp:posOffset>
                </wp:positionV>
                <wp:extent cx="15182850" cy="10801350"/>
                <wp:effectExtent l="0" t="0" r="19050" b="19050"/>
                <wp:wrapNone/>
                <wp:docPr id="805629430" name="Rectangle 9"/>
                <wp:cNvGraphicFramePr/>
                <a:graphic xmlns:a="http://schemas.openxmlformats.org/drawingml/2006/main">
                  <a:graphicData uri="http://schemas.microsoft.com/office/word/2010/wordprocessingShape">
                    <wps:wsp>
                      <wps:cNvSpPr/>
                      <wps:spPr>
                        <a:xfrm>
                          <a:off x="0" y="0"/>
                          <a:ext cx="15182850" cy="1080135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598C1F" id="Rectangle 9" o:spid="_x0000_s1026" style="position:absolute;margin-left:-70.5pt;margin-top:-70.5pt;width:1195.5pt;height:850.5pt;z-index:-25165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" fillcolor="#2f5496 [2404]" strokecolor="#09101d [484]" strokeweight="1pt"/>
            </w:pict>
          </mc:Fallback>
        </mc:AlternateContent>
      </w:r>
    </w:p>
    <w:p w14:paraId="6D56D130" w14:textId="77777777" w:rsidR="00DF09F1" w:rsidRDefault="00DF09F1" w:rsidP="009F566F">
      <w:pPr>
        <w:pStyle w:val="CGPC-elearning"/>
      </w:pPr>
    </w:p>
    <w:p w14:paraId="36A3FECC" w14:textId="77777777" w:rsidR="00DF09F1" w:rsidRDefault="00DF09F1" w:rsidP="009F566F">
      <w:pPr>
        <w:pStyle w:val="CGPC-elearning"/>
      </w:pPr>
    </w:p>
    <w:p w14:paraId="7153D8CE" w14:textId="77777777" w:rsidR="00B312C5" w:rsidRDefault="00B312C5" w:rsidP="009F566F">
      <w:pPr>
        <w:pStyle w:val="CGPC-elearning"/>
      </w:pPr>
    </w:p>
    <w:p w14:paraId="047682A1" w14:textId="77777777" w:rsidR="00B312C5" w:rsidRDefault="00B312C5" w:rsidP="009F566F">
      <w:pPr>
        <w:pStyle w:val="CGPC-elearning"/>
      </w:pPr>
    </w:p>
    <w:p w14:paraId="1283D091" w14:textId="77777777" w:rsidR="00B312C5" w:rsidRDefault="00B312C5" w:rsidP="009F566F">
      <w:pPr>
        <w:pStyle w:val="CGPC-elearning"/>
      </w:pPr>
    </w:p>
    <w:p w14:paraId="086B3C3C" w14:textId="77777777" w:rsidR="00B312C5" w:rsidRDefault="00B312C5" w:rsidP="009F566F">
      <w:pPr>
        <w:pStyle w:val="CGPC-elearning"/>
      </w:pPr>
    </w:p>
    <w:p w14:paraId="40397A8A" w14:textId="77777777" w:rsidR="00B312C5" w:rsidRDefault="00B312C5" w:rsidP="009F566F">
      <w:pPr>
        <w:pStyle w:val="CGPC-elearning"/>
      </w:pPr>
    </w:p>
    <w:p w14:paraId="3CBBC424" w14:textId="77777777" w:rsidR="00B312C5" w:rsidRDefault="00B312C5" w:rsidP="009F566F">
      <w:pPr>
        <w:pStyle w:val="CGPC-elearning"/>
      </w:pPr>
    </w:p>
    <w:p w14:paraId="1E18DDEB" w14:textId="77777777" w:rsidR="00B312C5" w:rsidRDefault="00B312C5" w:rsidP="009F566F">
      <w:pPr>
        <w:pStyle w:val="CGPC-elearning"/>
      </w:pPr>
    </w:p>
    <w:p w14:paraId="2D3D40AC" w14:textId="77777777" w:rsidR="00B312C5" w:rsidRDefault="00B312C5" w:rsidP="009F566F">
      <w:pPr>
        <w:pStyle w:val="CGPC-elearning"/>
      </w:pPr>
    </w:p>
    <w:p w14:paraId="4C72A25D" w14:textId="1C2A98C9" w:rsidR="00B312C5" w:rsidRDefault="00611F4A" w:rsidP="009F566F">
      <w:pPr>
        <w:pStyle w:val="Titre2"/>
      </w:pPr>
      <w:bookmarkStart w:id="19" w:name="_Toc185503774"/>
      <w:r>
        <w:t>Communauté et assurance-</w:t>
      </w:r>
      <w:r w:rsidR="00B81391">
        <w:t>vie</w:t>
      </w:r>
      <w:bookmarkEnd w:id="19"/>
    </w:p>
    <w:p w14:paraId="29342998" w14:textId="77777777" w:rsidR="00B312C5" w:rsidRDefault="00B312C5" w:rsidP="00B312C5">
      <w:pPr>
        <w:pStyle w:val="CGPC-elearning"/>
        <w:rPr>
          <w:rFonts w:eastAsiaTheme="majorEastAsia"/>
          <w:color w:val="3A5D9C"/>
          <w:sz w:val="48"/>
          <w:szCs w:val="26"/>
          <w:bdr w:val="none" w:sz="0" w:space="0" w:color="auto" w:frame="1"/>
        </w:rPr>
      </w:pPr>
      <w:r>
        <w:br w:type="page"/>
      </w:r>
    </w:p>
    <w:p w14:paraId="7359A268" w14:textId="4F69A1FF" w:rsidR="00B81391" w:rsidRPr="00B312C5" w:rsidRDefault="00BE7E41" w:rsidP="00B312C5">
      <w:pPr>
        <w:pStyle w:val="Titre3"/>
        <w:numPr>
          <w:ilvl w:val="0"/>
          <w:numId w:val="50"/>
        </w:numPr>
        <w:rPr>
          <w:szCs w:val="36"/>
        </w:rPr>
      </w:pPr>
      <w:r>
        <w:lastRenderedPageBreak/>
        <w:t xml:space="preserve"> </w:t>
      </w:r>
      <w:bookmarkStart w:id="20" w:name="_Toc185503775"/>
      <w:r w:rsidR="00B81391" w:rsidRPr="00E678EF">
        <w:t>Contrat</w:t>
      </w:r>
      <w:r w:rsidR="00B81391">
        <w:t xml:space="preserve"> dénoué lors de la dissolution de la communauté</w:t>
      </w:r>
      <w:bookmarkEnd w:id="20"/>
    </w:p>
    <w:p w14:paraId="50B8632C" w14:textId="77777777" w:rsidR="00E678EF" w:rsidRDefault="00E678EF" w:rsidP="00B81391">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4CC15E55" w14:textId="77777777" w:rsidR="00B81391" w:rsidRPr="00E678EF" w:rsidRDefault="00B81391" w:rsidP="009F566F">
      <w:pPr>
        <w:pStyle w:val="CGPC-elearning"/>
      </w:pPr>
      <w:r w:rsidRPr="00E678EF">
        <w:t>Le contrat est dénoué lors de la dissolution de la communauté</w:t>
      </w:r>
      <w:r w:rsidR="00611F4A">
        <w:t>,</w:t>
      </w:r>
      <w:r w:rsidRPr="00E678EF">
        <w:t xml:space="preserve"> lorsque celle-ci résulte du décès de l’époux assuré. Il convient alors de distinguer selon que le bénéficiaire est le conjoint survivant ou une autre personne.</w:t>
      </w:r>
    </w:p>
    <w:p w14:paraId="314CCA6E" w14:textId="10275161" w:rsidR="00B81391" w:rsidRPr="00E678EF" w:rsidRDefault="00B81391" w:rsidP="009F566F">
      <w:pPr>
        <w:pStyle w:val="CGPC-elearning"/>
      </w:pPr>
    </w:p>
    <w:p w14:paraId="69FEB8D9" w14:textId="2278907A" w:rsidR="00B81391" w:rsidRPr="00611F4A" w:rsidRDefault="00BE7E41" w:rsidP="00611F4A">
      <w:pPr>
        <w:pStyle w:val="Titre4"/>
        <w:numPr>
          <w:ilvl w:val="0"/>
          <w:numId w:val="46"/>
        </w:numPr>
      </w:pPr>
      <w:r>
        <w:rPr>
          <w:rStyle w:val="lev"/>
          <w:b/>
          <w:bCs/>
        </w:rPr>
        <w:t xml:space="preserve"> </w:t>
      </w:r>
      <w:r w:rsidR="00B81391" w:rsidRPr="00611F4A">
        <w:rPr>
          <w:rStyle w:val="lev"/>
          <w:b/>
          <w:bCs/>
        </w:rPr>
        <w:t>Droits du bénéficiaire, conjoint de l’assuré d’un contrat dénoué</w:t>
      </w:r>
    </w:p>
    <w:p w14:paraId="6C064355" w14:textId="77777777" w:rsidR="00B81391" w:rsidRPr="00E678EF" w:rsidRDefault="00B81391" w:rsidP="009F566F">
      <w:pPr>
        <w:pStyle w:val="CGPC-elearning"/>
      </w:pPr>
      <w:r w:rsidRPr="00E678EF">
        <w:t>Aux termes de l’article L. 132-16 du Code des assurances,</w:t>
      </w:r>
      <w:r w:rsidRPr="00E678EF">
        <w:rPr>
          <w:rStyle w:val="lev"/>
          <w:b w:val="0"/>
          <w:bCs/>
        </w:rPr>
        <w:t> « Le bénéfice de l’assurance contractée par un époux commun en biens en faveur de son conjoint constitue un bien propre pour celui-ci. / Aucune récompense n’est due à la communauté en raison des primes payées par elle, sauf dans les cas spécifiés dans l’article </w:t>
      </w:r>
      <w:hyperlink r:id="rId17" w:history="1">
        <w:r w:rsidRPr="00E678EF">
          <w:rPr>
            <w:rStyle w:val="Lienhypertexte"/>
            <w:color w:val="auto"/>
            <w:u w:val="none"/>
          </w:rPr>
          <w:t>L. 132-13</w:t>
        </w:r>
      </w:hyperlink>
      <w:r w:rsidRPr="00E678EF">
        <w:rPr>
          <w:rStyle w:val="lev"/>
          <w:b w:val="0"/>
          <w:bCs/>
        </w:rPr>
        <w:t>, deuxième alinéa »</w:t>
      </w:r>
      <w:r w:rsidRPr="00E678EF">
        <w:t>.</w:t>
      </w:r>
    </w:p>
    <w:p w14:paraId="4752004D" w14:textId="5A4C033B" w:rsidR="00B81391" w:rsidRDefault="00B81391" w:rsidP="009F566F">
      <w:pPr>
        <w:pStyle w:val="CGPC-elearning"/>
      </w:pPr>
      <w:r w:rsidRPr="00E678EF">
        <w:t>Le capital ou la rente versés au titre d’un contrat d’assurance au profit d’un conjoint est propre à ce dernier. Quant à la</w:t>
      </w:r>
      <w:r w:rsidR="00AA4475">
        <w:t xml:space="preserve"> </w:t>
      </w:r>
      <w:r w:rsidRPr="00E678EF">
        <w:t>récompense</w:t>
      </w:r>
      <w:r w:rsidR="00AA4475">
        <w:t xml:space="preserve"> </w:t>
      </w:r>
      <w:r w:rsidRPr="00E678EF">
        <w:t>qui devrait être due dès lors qu’un conjoint s’enrichit personnellement par prélèvement sur la masse commune, elle est ici écartée, sauf cas de primes excessives prélevées sur cette communauté eu égard aux facultés du souscripteur et de la communauté (C. assur., art. L. 132-13, al. 2).</w:t>
      </w:r>
    </w:p>
    <w:p w14:paraId="2FE25D85" w14:textId="77777777" w:rsidR="00611F4A" w:rsidRPr="00E678EF" w:rsidRDefault="00611F4A" w:rsidP="009F566F">
      <w:pPr>
        <w:pStyle w:val="CGPC-elearning"/>
      </w:pPr>
    </w:p>
    <w:p w14:paraId="1A2A7F1A" w14:textId="064B4DD3" w:rsidR="00B81391" w:rsidRPr="00611F4A" w:rsidRDefault="00BE7E41" w:rsidP="00611F4A">
      <w:pPr>
        <w:pStyle w:val="Titre4"/>
      </w:pPr>
      <w:r>
        <w:rPr>
          <w:rStyle w:val="lev"/>
          <w:b/>
          <w:bCs/>
        </w:rPr>
        <w:t xml:space="preserve"> </w:t>
      </w:r>
      <w:r w:rsidR="00B81391" w:rsidRPr="00611F4A">
        <w:rPr>
          <w:rStyle w:val="lev"/>
          <w:b/>
          <w:bCs/>
        </w:rPr>
        <w:t>Droits du bénéficiaire autre que le conjoint de l’assuré d’un contrat dénoué</w:t>
      </w:r>
    </w:p>
    <w:p w14:paraId="6B5ABC5E" w14:textId="77777777" w:rsidR="00B81391" w:rsidRDefault="00B81391" w:rsidP="009F566F">
      <w:pPr>
        <w:pStyle w:val="CGPC-elearning"/>
      </w:pPr>
      <w:r w:rsidRPr="00E678EF">
        <w:t>Lorsqu’un bénéficiaire autre que le conjoint survivant perçoit le capital, la succession du souscripteur des contrats est redevable envers la communauté des deniers communs ayant servi à acquitter une charge contractée dans l’intérêt personnel de celui-ci en application de l’article 1437 du Code civil, l’article L. 132-16 du Code des assurances n’étant pas applicable dans ce cas. La règle s’applique notamment lorsque le bénéficiaire est un enfant du défunt.</w:t>
      </w:r>
    </w:p>
    <w:p w14:paraId="12F95DA2" w14:textId="77777777" w:rsidR="00611F4A" w:rsidRDefault="00611F4A" w:rsidP="009F566F">
      <w:pPr>
        <w:pStyle w:val="CGPC-elearning"/>
      </w:pPr>
    </w:p>
    <w:p w14:paraId="0389D085" w14:textId="77777777" w:rsidR="00611F4A" w:rsidRPr="00E678EF" w:rsidRDefault="00611F4A" w:rsidP="009F566F">
      <w:pPr>
        <w:pStyle w:val="CGPC-elearning"/>
      </w:pPr>
    </w:p>
    <w:p w14:paraId="5911286D" w14:textId="702BFF56" w:rsidR="00B81391" w:rsidRDefault="00BE7E41" w:rsidP="00B312C5">
      <w:pPr>
        <w:pStyle w:val="Titre3"/>
        <w:rPr>
          <w:szCs w:val="36"/>
        </w:rPr>
      </w:pPr>
      <w:r>
        <w:t xml:space="preserve"> </w:t>
      </w:r>
      <w:bookmarkStart w:id="21" w:name="_Toc185503776"/>
      <w:r w:rsidR="00B81391">
        <w:t>Contrat non dénoué lors de la dissolution de la communauté</w:t>
      </w:r>
      <w:bookmarkEnd w:id="21"/>
    </w:p>
    <w:p w14:paraId="0248BA96" w14:textId="77777777" w:rsidR="00E678EF" w:rsidRDefault="00E678EF" w:rsidP="00B81391">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3B2ACFEE" w14:textId="77777777" w:rsidR="00B81391" w:rsidRDefault="00B81391" w:rsidP="009F566F">
      <w:pPr>
        <w:pStyle w:val="CGPC-elearning"/>
      </w:pPr>
      <w:r>
        <w:t xml:space="preserve">La valeur de rachat du contrat d’assurance vie non dénoué au jour de la dissolution de la communauté et financé par des fonds communs dépend de l’actif de la communauté. </w:t>
      </w:r>
      <w:r w:rsidR="00611F4A">
        <w:br/>
      </w:r>
      <w:r>
        <w:t>La règle a été énoncée par la Cour de cassation (Cass. 1</w:t>
      </w:r>
      <w:r>
        <w:rPr>
          <w:bdr w:val="none" w:sz="0" w:space="0" w:color="auto" w:frame="1"/>
          <w:vertAlign w:val="superscript"/>
        </w:rPr>
        <w:t>re</w:t>
      </w:r>
      <w:r>
        <w:t> civ., 31 mars 1992, n° 90-16.343).</w:t>
      </w:r>
    </w:p>
    <w:p w14:paraId="7477A338" w14:textId="77777777" w:rsidR="00B81391" w:rsidRDefault="00B81391" w:rsidP="009F566F">
      <w:pPr>
        <w:pStyle w:val="CGPC-elearning"/>
      </w:pPr>
      <w:r>
        <w:lastRenderedPageBreak/>
        <w:t>En cas de dissolution de la communauté par décès, jusqu’au 1</w:t>
      </w:r>
      <w:r>
        <w:rPr>
          <w:bdr w:val="none" w:sz="0" w:space="0" w:color="auto" w:frame="1"/>
          <w:vertAlign w:val="superscript"/>
        </w:rPr>
        <w:t>er</w:t>
      </w:r>
      <w:r>
        <w:t> janvier 2016, la taxation du contrat d’assurance-vie non dénoué était régie par la réponse ministérielle Bacquet du 29 juin 2010, reprise par une instruction fiscale du 9 juillet 2013. Sauf dispositions particulières (préciput…), la valeur de rachat du contrat faisait partie de l’actif de communauté soumis aux droits de succession dans les conditions de droit commun.</w:t>
      </w:r>
    </w:p>
    <w:p w14:paraId="2CBD904F" w14:textId="77777777" w:rsidR="00B81391" w:rsidRDefault="00B81391" w:rsidP="009F566F">
      <w:pPr>
        <w:pStyle w:val="CGPC-elearning"/>
      </w:pPr>
      <w:r>
        <w:t>Pour les successions ouvertes à compter du 1</w:t>
      </w:r>
      <w:r>
        <w:rPr>
          <w:bdr w:val="none" w:sz="0" w:space="0" w:color="auto" w:frame="1"/>
          <w:vertAlign w:val="superscript"/>
        </w:rPr>
        <w:t>er</w:t>
      </w:r>
      <w:r>
        <w:t> janvier 2016, pour le calcul des droits de succession, la valeur de rachat du contrat d’assurance vie non dénoué n’est plus intégrée à l’actif de la communauté à la suite de la réponse ministérielle Ciot du 23 février 2016. La règle vise à éviter une double taxation du contrat, la première lors du décès du conjoint de l’assuré, la seconde lors du décès de ce dernier.</w:t>
      </w:r>
    </w:p>
    <w:p w14:paraId="7F55EF00" w14:textId="77777777" w:rsidR="00B81391" w:rsidRDefault="00B81391" w:rsidP="009F566F">
      <w:pPr>
        <w:pStyle w:val="CGPC-elearning"/>
      </w:pPr>
      <w:r>
        <w:rPr>
          <w:b/>
          <w:noProof/>
          <w:bdr w:val="none" w:sz="0" w:space="0" w:color="auto" w:frame="1"/>
          <w:lang w:eastAsia="fr-FR"/>
        </w:rPr>
        <w:drawing>
          <wp:inline distT="0" distB="0" distL="0" distR="0" wp14:anchorId="286C6F51" wp14:editId="54BFB833">
            <wp:extent cx="213995" cy="213995"/>
            <wp:effectExtent l="0" t="0" r="0" b="0"/>
            <wp:docPr id="701811784" name="Image 1" descr="Une image contenant jaune, silhouette, illustra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811784" name="Image 1" descr="Une image contenant jaune, silhouette, illustration&#10;&#10;Description générée automatiquemen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t> </w:t>
      </w:r>
      <w:r>
        <w:rPr>
          <w:rStyle w:val="lev"/>
          <w:color w:val="666666"/>
          <w:sz w:val="21"/>
          <w:szCs w:val="21"/>
          <w:u w:val="single"/>
        </w:rPr>
        <w:t>Rappel</w:t>
      </w:r>
      <w:r>
        <w:t> Cette évolution ne remet pas en cause le principe, rappelé par la réponse ministérielle Proriol du 10 novembre 2009, d’une récompense due par l’époux survivant égale à la moitié de la valeur de rachat du contrat financé par des fonds communs, dans le cadre de la liquidation civile d’une succession.</w:t>
      </w:r>
    </w:p>
    <w:p w14:paraId="1EBEDE12" w14:textId="77777777" w:rsidR="00EB0768" w:rsidRPr="00B81391" w:rsidRDefault="00EB0768" w:rsidP="009F566F">
      <w:pPr>
        <w:pStyle w:val="CGPC-elearning"/>
      </w:pPr>
    </w:p>
    <w:sectPr w:rsidR="00EB0768" w:rsidRPr="00B81391" w:rsidSect="00C83690">
      <w:headerReference w:type="default" r:id="rId19"/>
      <w:footerReference w:type="default" r:id="rId20"/>
      <w:footerReference w:type="first" r:id="rId21"/>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5695A3" w14:textId="77777777" w:rsidR="00BB45E2" w:rsidRDefault="00BB45E2" w:rsidP="002020F9">
      <w:pPr>
        <w:spacing w:after="0" w:line="240" w:lineRule="auto"/>
      </w:pPr>
      <w:r>
        <w:separator/>
      </w:r>
    </w:p>
  </w:endnote>
  <w:endnote w:type="continuationSeparator" w:id="0">
    <w:p w14:paraId="6202C88A" w14:textId="77777777" w:rsidR="00BB45E2" w:rsidRDefault="00BB45E2"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6DFC929-205F-47A8-82B7-FAE800519155}"/>
    <w:embedBold r:id="rId2" w:fontKey="{9342ADCF-3714-4912-A207-914D51DC2F80}"/>
    <w:embedItalic r:id="rId3" w:fontKey="{3E758E00-F5ED-4338-8171-333F411232E5}"/>
    <w:embedBoldItalic r:id="rId4" w:fontKey="{69D9EB4F-DF53-42FF-9E58-818AA0F8AB46}"/>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31B36850-7DDE-4761-A51B-1B5789EB634B}"/>
    <w:embedBold r:id="rId6" w:fontKey="{8C8BB410-5FEF-4134-8C01-F88DBAE6EF15}"/>
    <w:embedItalic r:id="rId7" w:fontKey="{F32DD79E-50D0-40BA-A2B8-0D3B11EAC13B}"/>
    <w:embedBoldItalic r:id="rId8" w:fontKey="{B0AEF9BC-49E9-4CDE-B478-DEE1D7418255}"/>
  </w:font>
  <w:font w:name="Calibri Light">
    <w:panose1 w:val="020F0302020204030204"/>
    <w:charset w:val="00"/>
    <w:family w:val="swiss"/>
    <w:pitch w:val="variable"/>
    <w:sig w:usb0="E4002EFF" w:usb1="C200247B" w:usb2="00000009" w:usb3="00000000" w:csb0="000001FF" w:csb1="00000000"/>
    <w:embedRegular r:id="rId9" w:fontKey="{B7F53217-95AD-4D9F-8037-6E3CD570E18B}"/>
  </w:font>
  <w:font w:name="Tahoma">
    <w:panose1 w:val="020B0604030504040204"/>
    <w:charset w:val="00"/>
    <w:family w:val="swiss"/>
    <w:pitch w:val="variable"/>
    <w:sig w:usb0="E1002EFF" w:usb1="C000605B" w:usb2="00000029" w:usb3="00000000" w:csb0="000101FF" w:csb1="00000000"/>
    <w:embedRegular r:id="rId10" w:fontKey="{8AA6324A-8905-46BD-A5E4-48427914917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7D56D" w14:textId="38EA50B7" w:rsidR="00611F4A" w:rsidRDefault="00B312C5">
    <w:pPr>
      <w:pStyle w:val="Pieddepage"/>
    </w:pPr>
    <w:r>
      <w:rPr>
        <w:noProof/>
        <w:color w:val="4472C4" w:themeColor="accent1"/>
      </w:rPr>
      <mc:AlternateContent>
        <mc:Choice Requires="wps">
          <w:drawing>
            <wp:anchor distT="0" distB="0" distL="114300" distR="114300" simplePos="0" relativeHeight="251663360" behindDoc="0" locked="0" layoutInCell="1" allowOverlap="1" wp14:anchorId="442CDCE7" wp14:editId="082354C6">
              <wp:simplePos x="0" y="0"/>
              <wp:positionH relativeFrom="page">
                <wp:align>center</wp:align>
              </wp:positionH>
              <wp:positionV relativeFrom="page">
                <wp:align>center</wp:align>
              </wp:positionV>
              <wp:extent cx="7364730" cy="9528810"/>
              <wp:effectExtent l="0" t="0" r="26670" b="26670"/>
              <wp:wrapNone/>
              <wp:docPr id="220340036" name="Rectangle 247"/>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352A2617" id="Rectangle 247" o:spid="_x0000_s1026" style="position:absolute;margin-left:0;margin-top:0;width:579.9pt;height:750.3pt;z-index:251663360;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747070 [1614]" strokeweight="1.25pt">
              <w10:wrap anchorx="page" anchory="page"/>
            </v:rect>
          </w:pict>
        </mc:Fallback>
      </mc:AlternateContent>
    </w:r>
    <w:r>
      <w:rPr>
        <w:color w:val="4472C4" w:themeColor="accent1"/>
      </w:rPr>
      <w:t xml:space="preserve"> </w:t>
    </w:r>
    <w:r>
      <w:rPr>
        <w:rFonts w:asciiTheme="majorHAnsi" w:eastAsiaTheme="majorEastAsia" w:hAnsiTheme="majorHAnsi" w:cstheme="majorBidi"/>
        <w:color w:val="4472C4" w:themeColor="accent1"/>
        <w:sz w:val="20"/>
        <w:szCs w:val="20"/>
      </w:rPr>
      <w:t xml:space="preserve">p. </w:t>
    </w:r>
    <w:r>
      <w:rPr>
        <w:rFonts w:asciiTheme="minorHAnsi" w:eastAsiaTheme="minorEastAsia" w:hAnsiTheme="minorHAnsi"/>
        <w:color w:val="4472C4" w:themeColor="accent1"/>
        <w:sz w:val="20"/>
        <w:szCs w:val="20"/>
      </w:rPr>
      <w:fldChar w:fldCharType="begin"/>
    </w:r>
    <w:r>
      <w:rPr>
        <w:color w:val="4472C4" w:themeColor="accent1"/>
        <w:sz w:val="20"/>
        <w:szCs w:val="20"/>
      </w:rPr>
      <w:instrText>PAGE    \* MERGEFORMAT</w:instrText>
    </w:r>
    <w:r>
      <w:rPr>
        <w:rFonts w:asciiTheme="minorHAnsi" w:eastAsiaTheme="minorEastAsia" w:hAnsiTheme="minorHAnsi"/>
        <w:color w:val="4472C4" w:themeColor="accent1"/>
        <w:sz w:val="20"/>
        <w:szCs w:val="20"/>
      </w:rPr>
      <w:fldChar w:fldCharType="separate"/>
    </w:r>
    <w:r>
      <w:rPr>
        <w:rFonts w:asciiTheme="majorHAnsi" w:eastAsiaTheme="majorEastAsia" w:hAnsiTheme="majorHAnsi" w:cstheme="majorBidi"/>
        <w:color w:val="4472C4" w:themeColor="accent1"/>
        <w:sz w:val="20"/>
        <w:szCs w:val="20"/>
      </w:rPr>
      <w:t>2</w:t>
    </w:r>
    <w:r>
      <w:rPr>
        <w:rFonts w:asciiTheme="majorHAnsi" w:eastAsiaTheme="majorEastAsia" w:hAnsiTheme="majorHAnsi" w:cstheme="majorBidi"/>
        <w:color w:val="4472C4" w:themeColor="accent1"/>
        <w:sz w:val="20"/>
        <w:szCs w:val="20"/>
      </w:rPr>
      <w:fldChar w:fldCharType="end"/>
    </w:r>
    <w:r w:rsidR="00BE7E41">
      <w:rPr>
        <w:rFonts w:asciiTheme="majorHAnsi" w:eastAsiaTheme="majorEastAsia" w:hAnsiTheme="majorHAnsi" w:cstheme="majorBidi"/>
        <w:color w:val="4472C4" w:themeColor="accent1"/>
        <w:sz w:val="20"/>
        <w:szCs w:val="20"/>
      </w:rPr>
      <w:t xml:space="preserve"> </w:t>
    </w:r>
    <w:r w:rsidR="00BE7E41" w:rsidRPr="00BE7E41">
      <w:rPr>
        <w:rFonts w:asciiTheme="majorHAnsi" w:eastAsiaTheme="majorEastAsia" w:hAnsiTheme="majorHAnsi" w:cstheme="majorBidi"/>
        <w:color w:val="4472C4" w:themeColor="accent1"/>
        <w:sz w:val="20"/>
        <w:szCs w:val="20"/>
      </w:rPr>
      <w:t>Copyright© CGPC®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11BB5B" w14:textId="1E0489DF" w:rsidR="00452285" w:rsidRDefault="00A42BFF">
    <w:pPr>
      <w:pStyle w:val="Pieddepage"/>
    </w:pPr>
    <w:r>
      <w:rPr>
        <w:noProof/>
        <w:color w:val="4472C4" w:themeColor="accent1"/>
      </w:rPr>
      <mc:AlternateContent>
        <mc:Choice Requires="wps">
          <w:drawing>
            <wp:anchor distT="0" distB="0" distL="114300" distR="114300" simplePos="0" relativeHeight="251659264" behindDoc="0" locked="0" layoutInCell="1" allowOverlap="1" wp14:anchorId="2F29E42A" wp14:editId="7522E2EA">
              <wp:simplePos x="0" y="0"/>
              <wp:positionH relativeFrom="page">
                <wp:align>center</wp:align>
              </wp:positionH>
              <wp:positionV relativeFrom="page">
                <wp:align>center</wp:align>
              </wp:positionV>
              <wp:extent cx="7364730" cy="9528810"/>
              <wp:effectExtent l="0" t="0" r="26670" b="26670"/>
              <wp:wrapNone/>
              <wp:docPr id="452" name="Rectangle 247"/>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46F46C95" id="Rectangle 247"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747070 [1614]" strokeweight="1.25pt">
              <w10:wrap anchorx="page" anchory="page"/>
            </v:rect>
          </w:pict>
        </mc:Fallback>
      </mc:AlternateContent>
    </w:r>
    <w:r>
      <w:rPr>
        <w:color w:val="4472C4" w:themeColor="accent1"/>
      </w:rPr>
      <w:t xml:space="preserve"> </w:t>
    </w:r>
    <w:r>
      <w:rPr>
        <w:rFonts w:asciiTheme="majorHAnsi" w:eastAsiaTheme="majorEastAsia" w:hAnsiTheme="majorHAnsi" w:cstheme="majorBidi"/>
        <w:color w:val="4472C4" w:themeColor="accent1"/>
        <w:sz w:val="20"/>
        <w:szCs w:val="20"/>
      </w:rPr>
      <w:t xml:space="preserve">p. </w:t>
    </w:r>
    <w:r>
      <w:rPr>
        <w:rFonts w:asciiTheme="minorHAnsi" w:eastAsiaTheme="minorEastAsia" w:hAnsiTheme="minorHAnsi"/>
        <w:color w:val="4472C4" w:themeColor="accent1"/>
        <w:sz w:val="20"/>
        <w:szCs w:val="20"/>
      </w:rPr>
      <w:fldChar w:fldCharType="begin"/>
    </w:r>
    <w:r>
      <w:rPr>
        <w:color w:val="4472C4" w:themeColor="accent1"/>
        <w:sz w:val="20"/>
        <w:szCs w:val="20"/>
      </w:rPr>
      <w:instrText>PAGE    \* MERGEFORMAT</w:instrText>
    </w:r>
    <w:r>
      <w:rPr>
        <w:rFonts w:asciiTheme="minorHAnsi" w:eastAsiaTheme="minorEastAsia" w:hAnsiTheme="minorHAnsi"/>
        <w:color w:val="4472C4" w:themeColor="accent1"/>
        <w:sz w:val="20"/>
        <w:szCs w:val="20"/>
      </w:rPr>
      <w:fldChar w:fldCharType="separate"/>
    </w:r>
    <w:r>
      <w:rPr>
        <w:rFonts w:asciiTheme="majorHAnsi" w:eastAsiaTheme="majorEastAsia" w:hAnsiTheme="majorHAnsi" w:cstheme="majorBidi"/>
        <w:color w:val="4472C4" w:themeColor="accent1"/>
        <w:sz w:val="20"/>
        <w:szCs w:val="20"/>
      </w:rPr>
      <w:t>2</w:t>
    </w:r>
    <w:r>
      <w:rPr>
        <w:rFonts w:asciiTheme="majorHAnsi" w:eastAsiaTheme="majorEastAsia" w:hAnsiTheme="majorHAnsi" w:cstheme="majorBidi"/>
        <w:color w:val="4472C4" w:themeColor="accent1"/>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3739CD" w14:textId="77777777" w:rsidR="00BB45E2" w:rsidRDefault="00BB45E2" w:rsidP="002020F9">
      <w:pPr>
        <w:spacing w:after="0" w:line="240" w:lineRule="auto"/>
      </w:pPr>
      <w:r>
        <w:separator/>
      </w:r>
    </w:p>
  </w:footnote>
  <w:footnote w:type="continuationSeparator" w:id="0">
    <w:p w14:paraId="6157363E" w14:textId="77777777" w:rsidR="00BB45E2" w:rsidRDefault="00BB45E2"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91765" w14:textId="00B06A62" w:rsidR="00452285" w:rsidRDefault="00A42BFF">
    <w:pPr>
      <w:pStyle w:val="En-tte"/>
    </w:pPr>
    <w:r>
      <w:rPr>
        <w:noProof/>
      </w:rPr>
      <mc:AlternateContent>
        <mc:Choice Requires="wps">
          <w:drawing>
            <wp:anchor distT="0" distB="0" distL="118745" distR="118745" simplePos="0" relativeHeight="251661312" behindDoc="1" locked="0" layoutInCell="1" allowOverlap="0" wp14:anchorId="0AEDDB91" wp14:editId="620CF25C">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631C16E7" w14:textId="60408C96" w:rsidR="00A42BFF" w:rsidRDefault="00AB5117">
                              <w:pPr>
                                <w:pStyle w:val="En-tte"/>
                                <w:jc w:val="center"/>
                                <w:rPr>
                                  <w:caps/>
                                  <w:color w:val="FFFFFF" w:themeColor="background1"/>
                                </w:rPr>
                              </w:pPr>
                              <w:r>
                                <w:rPr>
                                  <w:caps/>
                                  <w:color w:val="FFFFFF" w:themeColor="background1"/>
                                </w:rPr>
                                <w:t>Chapitre 5 :  Régimes matrimoniaux et gestion du patrimoine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0AEDDB91" id="Rectangle 200" o:spid="_x0000_s1026" style="position:absolute;left:0;text-align:left;margin-left:0;margin-top:0;width:468.5pt;height:21.3pt;z-index:-251655168;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631C16E7" w14:textId="60408C96" w:rsidR="00A42BFF" w:rsidRDefault="00AB5117">
                        <w:pPr>
                          <w:pStyle w:val="En-tte"/>
                          <w:jc w:val="center"/>
                          <w:rPr>
                            <w:caps/>
                            <w:color w:val="FFFFFF" w:themeColor="background1"/>
                          </w:rPr>
                        </w:pPr>
                        <w:r>
                          <w:rPr>
                            <w:caps/>
                            <w:color w:val="FFFFFF" w:themeColor="background1"/>
                          </w:rPr>
                          <w:t>Chapitre 5 :  Régimes matrimoniaux et gestion du patrimoine</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Une image contenant capture d’écran, dessin humoristique&#10;&#10;Description générée automatiquement" style="width:492pt;height:492pt;visibility:visible;mso-wrap-style:square" o:bullet="t">
        <v:imagedata r:id="rId1" o:title="Une image contenant capture d’écran, dessin humoristique&#10;&#10;Description générée automatiquement"/>
      </v:shape>
    </w:pict>
  </w:numPicBullet>
  <w:numPicBullet w:numPicBulletId="1">
    <w:pict>
      <v:shape w14:anchorId="6747F653" id="_x0000_i1026" type="#_x0000_t75" alt="Une image contenant jaune, ligne, Graphique, conception&#10;&#10;Description générée automatiquement" style="width:409.5pt;height:409.5pt;visibility:visible;mso-wrap-style:square" o:bullet="t">
        <v:imagedata r:id="rId2" o:title="Une image contenant jaune, ligne, Graphique, conception&#10;&#10;Description générée automatiquement"/>
      </v:shape>
    </w:pict>
  </w:numPicBullet>
  <w:abstractNum w:abstractNumId="0" w15:restartNumberingAfterBreak="0">
    <w:nsid w:val="09122DF2"/>
    <w:multiLevelType w:val="multilevel"/>
    <w:tmpl w:val="B7861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08856F1"/>
    <w:multiLevelType w:val="hybridMultilevel"/>
    <w:tmpl w:val="1786F07A"/>
    <w:lvl w:ilvl="0" w:tplc="FBCEC660">
      <w:start w:val="1"/>
      <w:numFmt w:val="decimal"/>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214838"/>
    <w:multiLevelType w:val="multilevel"/>
    <w:tmpl w:val="9822E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29B6FAF"/>
    <w:multiLevelType w:val="multilevel"/>
    <w:tmpl w:val="CE7AB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2D532DB"/>
    <w:multiLevelType w:val="multilevel"/>
    <w:tmpl w:val="6F020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6C54259"/>
    <w:multiLevelType w:val="multilevel"/>
    <w:tmpl w:val="398E6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BA65EF5"/>
    <w:multiLevelType w:val="multilevel"/>
    <w:tmpl w:val="5D0E3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F0D61FB"/>
    <w:multiLevelType w:val="hybridMultilevel"/>
    <w:tmpl w:val="47F26C2A"/>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521190A"/>
    <w:multiLevelType w:val="hybridMultilevel"/>
    <w:tmpl w:val="736A32A2"/>
    <w:lvl w:ilvl="0" w:tplc="CAB64A18">
      <w:start w:val="1"/>
      <w:numFmt w:val="bullet"/>
      <w:lvlText w:val=""/>
      <w:lvlPicBulletId w:val="0"/>
      <w:lvlJc w:val="left"/>
      <w:pPr>
        <w:tabs>
          <w:tab w:val="num" w:pos="720"/>
        </w:tabs>
        <w:ind w:left="720" w:hanging="360"/>
      </w:pPr>
      <w:rPr>
        <w:rFonts w:ascii="Symbol" w:hAnsi="Symbol" w:hint="default"/>
      </w:rPr>
    </w:lvl>
    <w:lvl w:ilvl="1" w:tplc="E506B84E" w:tentative="1">
      <w:start w:val="1"/>
      <w:numFmt w:val="bullet"/>
      <w:lvlText w:val=""/>
      <w:lvlJc w:val="left"/>
      <w:pPr>
        <w:tabs>
          <w:tab w:val="num" w:pos="1440"/>
        </w:tabs>
        <w:ind w:left="1440" w:hanging="360"/>
      </w:pPr>
      <w:rPr>
        <w:rFonts w:ascii="Symbol" w:hAnsi="Symbol" w:hint="default"/>
      </w:rPr>
    </w:lvl>
    <w:lvl w:ilvl="2" w:tplc="1CC4DAB8" w:tentative="1">
      <w:start w:val="1"/>
      <w:numFmt w:val="bullet"/>
      <w:lvlText w:val=""/>
      <w:lvlJc w:val="left"/>
      <w:pPr>
        <w:tabs>
          <w:tab w:val="num" w:pos="2160"/>
        </w:tabs>
        <w:ind w:left="2160" w:hanging="360"/>
      </w:pPr>
      <w:rPr>
        <w:rFonts w:ascii="Symbol" w:hAnsi="Symbol" w:hint="default"/>
      </w:rPr>
    </w:lvl>
    <w:lvl w:ilvl="3" w:tplc="51267282" w:tentative="1">
      <w:start w:val="1"/>
      <w:numFmt w:val="bullet"/>
      <w:lvlText w:val=""/>
      <w:lvlJc w:val="left"/>
      <w:pPr>
        <w:tabs>
          <w:tab w:val="num" w:pos="2880"/>
        </w:tabs>
        <w:ind w:left="2880" w:hanging="360"/>
      </w:pPr>
      <w:rPr>
        <w:rFonts w:ascii="Symbol" w:hAnsi="Symbol" w:hint="default"/>
      </w:rPr>
    </w:lvl>
    <w:lvl w:ilvl="4" w:tplc="59D8090C" w:tentative="1">
      <w:start w:val="1"/>
      <w:numFmt w:val="bullet"/>
      <w:lvlText w:val=""/>
      <w:lvlJc w:val="left"/>
      <w:pPr>
        <w:tabs>
          <w:tab w:val="num" w:pos="3600"/>
        </w:tabs>
        <w:ind w:left="3600" w:hanging="360"/>
      </w:pPr>
      <w:rPr>
        <w:rFonts w:ascii="Symbol" w:hAnsi="Symbol" w:hint="default"/>
      </w:rPr>
    </w:lvl>
    <w:lvl w:ilvl="5" w:tplc="504C0050" w:tentative="1">
      <w:start w:val="1"/>
      <w:numFmt w:val="bullet"/>
      <w:lvlText w:val=""/>
      <w:lvlJc w:val="left"/>
      <w:pPr>
        <w:tabs>
          <w:tab w:val="num" w:pos="4320"/>
        </w:tabs>
        <w:ind w:left="4320" w:hanging="360"/>
      </w:pPr>
      <w:rPr>
        <w:rFonts w:ascii="Symbol" w:hAnsi="Symbol" w:hint="default"/>
      </w:rPr>
    </w:lvl>
    <w:lvl w:ilvl="6" w:tplc="7B32A344" w:tentative="1">
      <w:start w:val="1"/>
      <w:numFmt w:val="bullet"/>
      <w:lvlText w:val=""/>
      <w:lvlJc w:val="left"/>
      <w:pPr>
        <w:tabs>
          <w:tab w:val="num" w:pos="5040"/>
        </w:tabs>
        <w:ind w:left="5040" w:hanging="360"/>
      </w:pPr>
      <w:rPr>
        <w:rFonts w:ascii="Symbol" w:hAnsi="Symbol" w:hint="default"/>
      </w:rPr>
    </w:lvl>
    <w:lvl w:ilvl="7" w:tplc="1A2EC7B0" w:tentative="1">
      <w:start w:val="1"/>
      <w:numFmt w:val="bullet"/>
      <w:lvlText w:val=""/>
      <w:lvlJc w:val="left"/>
      <w:pPr>
        <w:tabs>
          <w:tab w:val="num" w:pos="5760"/>
        </w:tabs>
        <w:ind w:left="5760" w:hanging="360"/>
      </w:pPr>
      <w:rPr>
        <w:rFonts w:ascii="Symbol" w:hAnsi="Symbol" w:hint="default"/>
      </w:rPr>
    </w:lvl>
    <w:lvl w:ilvl="8" w:tplc="46246822"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2618135F"/>
    <w:multiLevelType w:val="multilevel"/>
    <w:tmpl w:val="A992C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A292D8F"/>
    <w:multiLevelType w:val="multilevel"/>
    <w:tmpl w:val="0FCEB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5344400"/>
    <w:multiLevelType w:val="hybridMultilevel"/>
    <w:tmpl w:val="F60CD018"/>
    <w:lvl w:ilvl="0" w:tplc="E1063458">
      <w:start w:val="1"/>
      <w:numFmt w:val="bullet"/>
      <w:lvlText w:val=""/>
      <w:lvlPicBulletId w:val="0"/>
      <w:lvlJc w:val="left"/>
      <w:pPr>
        <w:tabs>
          <w:tab w:val="num" w:pos="720"/>
        </w:tabs>
        <w:ind w:left="720" w:hanging="360"/>
      </w:pPr>
      <w:rPr>
        <w:rFonts w:ascii="Symbol" w:hAnsi="Symbol" w:hint="default"/>
      </w:rPr>
    </w:lvl>
    <w:lvl w:ilvl="1" w:tplc="8D4C3474" w:tentative="1">
      <w:start w:val="1"/>
      <w:numFmt w:val="bullet"/>
      <w:lvlText w:val=""/>
      <w:lvlJc w:val="left"/>
      <w:pPr>
        <w:tabs>
          <w:tab w:val="num" w:pos="1440"/>
        </w:tabs>
        <w:ind w:left="1440" w:hanging="360"/>
      </w:pPr>
      <w:rPr>
        <w:rFonts w:ascii="Symbol" w:hAnsi="Symbol" w:hint="default"/>
      </w:rPr>
    </w:lvl>
    <w:lvl w:ilvl="2" w:tplc="B3CE93A6" w:tentative="1">
      <w:start w:val="1"/>
      <w:numFmt w:val="bullet"/>
      <w:lvlText w:val=""/>
      <w:lvlJc w:val="left"/>
      <w:pPr>
        <w:tabs>
          <w:tab w:val="num" w:pos="2160"/>
        </w:tabs>
        <w:ind w:left="2160" w:hanging="360"/>
      </w:pPr>
      <w:rPr>
        <w:rFonts w:ascii="Symbol" w:hAnsi="Symbol" w:hint="default"/>
      </w:rPr>
    </w:lvl>
    <w:lvl w:ilvl="3" w:tplc="C1C42734" w:tentative="1">
      <w:start w:val="1"/>
      <w:numFmt w:val="bullet"/>
      <w:lvlText w:val=""/>
      <w:lvlJc w:val="left"/>
      <w:pPr>
        <w:tabs>
          <w:tab w:val="num" w:pos="2880"/>
        </w:tabs>
        <w:ind w:left="2880" w:hanging="360"/>
      </w:pPr>
      <w:rPr>
        <w:rFonts w:ascii="Symbol" w:hAnsi="Symbol" w:hint="default"/>
      </w:rPr>
    </w:lvl>
    <w:lvl w:ilvl="4" w:tplc="54329958" w:tentative="1">
      <w:start w:val="1"/>
      <w:numFmt w:val="bullet"/>
      <w:lvlText w:val=""/>
      <w:lvlJc w:val="left"/>
      <w:pPr>
        <w:tabs>
          <w:tab w:val="num" w:pos="3600"/>
        </w:tabs>
        <w:ind w:left="3600" w:hanging="360"/>
      </w:pPr>
      <w:rPr>
        <w:rFonts w:ascii="Symbol" w:hAnsi="Symbol" w:hint="default"/>
      </w:rPr>
    </w:lvl>
    <w:lvl w:ilvl="5" w:tplc="57ACCC46" w:tentative="1">
      <w:start w:val="1"/>
      <w:numFmt w:val="bullet"/>
      <w:lvlText w:val=""/>
      <w:lvlJc w:val="left"/>
      <w:pPr>
        <w:tabs>
          <w:tab w:val="num" w:pos="4320"/>
        </w:tabs>
        <w:ind w:left="4320" w:hanging="360"/>
      </w:pPr>
      <w:rPr>
        <w:rFonts w:ascii="Symbol" w:hAnsi="Symbol" w:hint="default"/>
      </w:rPr>
    </w:lvl>
    <w:lvl w:ilvl="6" w:tplc="525617BC" w:tentative="1">
      <w:start w:val="1"/>
      <w:numFmt w:val="bullet"/>
      <w:lvlText w:val=""/>
      <w:lvlJc w:val="left"/>
      <w:pPr>
        <w:tabs>
          <w:tab w:val="num" w:pos="5040"/>
        </w:tabs>
        <w:ind w:left="5040" w:hanging="360"/>
      </w:pPr>
      <w:rPr>
        <w:rFonts w:ascii="Symbol" w:hAnsi="Symbol" w:hint="default"/>
      </w:rPr>
    </w:lvl>
    <w:lvl w:ilvl="7" w:tplc="D7D6CBD2" w:tentative="1">
      <w:start w:val="1"/>
      <w:numFmt w:val="bullet"/>
      <w:lvlText w:val=""/>
      <w:lvlJc w:val="left"/>
      <w:pPr>
        <w:tabs>
          <w:tab w:val="num" w:pos="5760"/>
        </w:tabs>
        <w:ind w:left="5760" w:hanging="360"/>
      </w:pPr>
      <w:rPr>
        <w:rFonts w:ascii="Symbol" w:hAnsi="Symbol" w:hint="default"/>
      </w:rPr>
    </w:lvl>
    <w:lvl w:ilvl="8" w:tplc="DF2AF5E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354305A4"/>
    <w:multiLevelType w:val="multilevel"/>
    <w:tmpl w:val="2CDC6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9A24D8D"/>
    <w:multiLevelType w:val="hybridMultilevel"/>
    <w:tmpl w:val="AEF0BB7E"/>
    <w:lvl w:ilvl="0" w:tplc="84BC9358">
      <w:start w:val="1"/>
      <w:numFmt w:val="bullet"/>
      <w:lvlText w:val=""/>
      <w:lvlPicBulletId w:val="1"/>
      <w:lvlJc w:val="left"/>
      <w:pPr>
        <w:tabs>
          <w:tab w:val="num" w:pos="720"/>
        </w:tabs>
        <w:ind w:left="720" w:hanging="360"/>
      </w:pPr>
      <w:rPr>
        <w:rFonts w:ascii="Symbol" w:hAnsi="Symbol" w:hint="default"/>
      </w:rPr>
    </w:lvl>
    <w:lvl w:ilvl="1" w:tplc="F9BC4064" w:tentative="1">
      <w:start w:val="1"/>
      <w:numFmt w:val="bullet"/>
      <w:lvlText w:val=""/>
      <w:lvlJc w:val="left"/>
      <w:pPr>
        <w:tabs>
          <w:tab w:val="num" w:pos="1440"/>
        </w:tabs>
        <w:ind w:left="1440" w:hanging="360"/>
      </w:pPr>
      <w:rPr>
        <w:rFonts w:ascii="Symbol" w:hAnsi="Symbol" w:hint="default"/>
      </w:rPr>
    </w:lvl>
    <w:lvl w:ilvl="2" w:tplc="A148C2EA" w:tentative="1">
      <w:start w:val="1"/>
      <w:numFmt w:val="bullet"/>
      <w:lvlText w:val=""/>
      <w:lvlJc w:val="left"/>
      <w:pPr>
        <w:tabs>
          <w:tab w:val="num" w:pos="2160"/>
        </w:tabs>
        <w:ind w:left="2160" w:hanging="360"/>
      </w:pPr>
      <w:rPr>
        <w:rFonts w:ascii="Symbol" w:hAnsi="Symbol" w:hint="default"/>
      </w:rPr>
    </w:lvl>
    <w:lvl w:ilvl="3" w:tplc="4782B51C" w:tentative="1">
      <w:start w:val="1"/>
      <w:numFmt w:val="bullet"/>
      <w:lvlText w:val=""/>
      <w:lvlJc w:val="left"/>
      <w:pPr>
        <w:tabs>
          <w:tab w:val="num" w:pos="2880"/>
        </w:tabs>
        <w:ind w:left="2880" w:hanging="360"/>
      </w:pPr>
      <w:rPr>
        <w:rFonts w:ascii="Symbol" w:hAnsi="Symbol" w:hint="default"/>
      </w:rPr>
    </w:lvl>
    <w:lvl w:ilvl="4" w:tplc="8C16962C" w:tentative="1">
      <w:start w:val="1"/>
      <w:numFmt w:val="bullet"/>
      <w:lvlText w:val=""/>
      <w:lvlJc w:val="left"/>
      <w:pPr>
        <w:tabs>
          <w:tab w:val="num" w:pos="3600"/>
        </w:tabs>
        <w:ind w:left="3600" w:hanging="360"/>
      </w:pPr>
      <w:rPr>
        <w:rFonts w:ascii="Symbol" w:hAnsi="Symbol" w:hint="default"/>
      </w:rPr>
    </w:lvl>
    <w:lvl w:ilvl="5" w:tplc="95EC1EE4" w:tentative="1">
      <w:start w:val="1"/>
      <w:numFmt w:val="bullet"/>
      <w:lvlText w:val=""/>
      <w:lvlJc w:val="left"/>
      <w:pPr>
        <w:tabs>
          <w:tab w:val="num" w:pos="4320"/>
        </w:tabs>
        <w:ind w:left="4320" w:hanging="360"/>
      </w:pPr>
      <w:rPr>
        <w:rFonts w:ascii="Symbol" w:hAnsi="Symbol" w:hint="default"/>
      </w:rPr>
    </w:lvl>
    <w:lvl w:ilvl="6" w:tplc="749A9A14" w:tentative="1">
      <w:start w:val="1"/>
      <w:numFmt w:val="bullet"/>
      <w:lvlText w:val=""/>
      <w:lvlJc w:val="left"/>
      <w:pPr>
        <w:tabs>
          <w:tab w:val="num" w:pos="5040"/>
        </w:tabs>
        <w:ind w:left="5040" w:hanging="360"/>
      </w:pPr>
      <w:rPr>
        <w:rFonts w:ascii="Symbol" w:hAnsi="Symbol" w:hint="default"/>
      </w:rPr>
    </w:lvl>
    <w:lvl w:ilvl="7" w:tplc="708664D6" w:tentative="1">
      <w:start w:val="1"/>
      <w:numFmt w:val="bullet"/>
      <w:lvlText w:val=""/>
      <w:lvlJc w:val="left"/>
      <w:pPr>
        <w:tabs>
          <w:tab w:val="num" w:pos="5760"/>
        </w:tabs>
        <w:ind w:left="5760" w:hanging="360"/>
      </w:pPr>
      <w:rPr>
        <w:rFonts w:ascii="Symbol" w:hAnsi="Symbol" w:hint="default"/>
      </w:rPr>
    </w:lvl>
    <w:lvl w:ilvl="8" w:tplc="FC423A54"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3E7B24B8"/>
    <w:multiLevelType w:val="hybridMultilevel"/>
    <w:tmpl w:val="D06C67F2"/>
    <w:lvl w:ilvl="0" w:tplc="05F8591A">
      <w:start w:val="1"/>
      <w:numFmt w:val="upperLetter"/>
      <w:pStyle w:val="Titre4"/>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6" w15:restartNumberingAfterBreak="0">
    <w:nsid w:val="42382933"/>
    <w:multiLevelType w:val="multilevel"/>
    <w:tmpl w:val="7B3E7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4314407"/>
    <w:multiLevelType w:val="multilevel"/>
    <w:tmpl w:val="78A82C74"/>
    <w:lvl w:ilvl="0">
      <w:start w:val="1"/>
      <w:numFmt w:val="upperRoman"/>
      <w:pStyle w:val="Titre2"/>
      <w:lvlText w:val="%1."/>
      <w:lvlJc w:val="right"/>
      <w:pPr>
        <w:ind w:left="1530" w:hanging="360"/>
      </w:pPr>
    </w:lvl>
    <w:lvl w:ilvl="1">
      <w:start w:val="1"/>
      <w:numFmt w:val="decimal"/>
      <w:lvlText w:val="%2."/>
      <w:lvlJc w:val="left"/>
      <w:pPr>
        <w:tabs>
          <w:tab w:val="num" w:pos="2250"/>
        </w:tabs>
        <w:ind w:left="2250" w:hanging="720"/>
      </w:pPr>
    </w:lvl>
    <w:lvl w:ilvl="2">
      <w:start w:val="1"/>
      <w:numFmt w:val="decimal"/>
      <w:lvlText w:val="%3."/>
      <w:lvlJc w:val="left"/>
      <w:pPr>
        <w:tabs>
          <w:tab w:val="num" w:pos="2970"/>
        </w:tabs>
        <w:ind w:left="2970" w:hanging="720"/>
      </w:pPr>
    </w:lvl>
    <w:lvl w:ilvl="3">
      <w:start w:val="1"/>
      <w:numFmt w:val="decimal"/>
      <w:lvlText w:val="%4."/>
      <w:lvlJc w:val="left"/>
      <w:pPr>
        <w:tabs>
          <w:tab w:val="num" w:pos="3690"/>
        </w:tabs>
        <w:ind w:left="3690" w:hanging="720"/>
      </w:pPr>
    </w:lvl>
    <w:lvl w:ilvl="4">
      <w:start w:val="1"/>
      <w:numFmt w:val="decimal"/>
      <w:lvlText w:val="%5."/>
      <w:lvlJc w:val="left"/>
      <w:pPr>
        <w:tabs>
          <w:tab w:val="num" w:pos="4410"/>
        </w:tabs>
        <w:ind w:left="4410" w:hanging="720"/>
      </w:pPr>
    </w:lvl>
    <w:lvl w:ilvl="5">
      <w:start w:val="1"/>
      <w:numFmt w:val="decimal"/>
      <w:lvlText w:val="%6."/>
      <w:lvlJc w:val="left"/>
      <w:pPr>
        <w:tabs>
          <w:tab w:val="num" w:pos="5130"/>
        </w:tabs>
        <w:ind w:left="5130" w:hanging="720"/>
      </w:pPr>
    </w:lvl>
    <w:lvl w:ilvl="6">
      <w:start w:val="1"/>
      <w:numFmt w:val="decimal"/>
      <w:lvlText w:val="%7."/>
      <w:lvlJc w:val="left"/>
      <w:pPr>
        <w:tabs>
          <w:tab w:val="num" w:pos="5850"/>
        </w:tabs>
        <w:ind w:left="5850" w:hanging="720"/>
      </w:pPr>
    </w:lvl>
    <w:lvl w:ilvl="7">
      <w:start w:val="1"/>
      <w:numFmt w:val="decimal"/>
      <w:lvlText w:val="%8."/>
      <w:lvlJc w:val="left"/>
      <w:pPr>
        <w:tabs>
          <w:tab w:val="num" w:pos="6570"/>
        </w:tabs>
        <w:ind w:left="6570" w:hanging="720"/>
      </w:pPr>
    </w:lvl>
    <w:lvl w:ilvl="8">
      <w:start w:val="1"/>
      <w:numFmt w:val="decimal"/>
      <w:lvlText w:val="%9."/>
      <w:lvlJc w:val="left"/>
      <w:pPr>
        <w:tabs>
          <w:tab w:val="num" w:pos="7290"/>
        </w:tabs>
        <w:ind w:left="7290" w:hanging="720"/>
      </w:pPr>
    </w:lvl>
  </w:abstractNum>
  <w:abstractNum w:abstractNumId="18" w15:restartNumberingAfterBreak="0">
    <w:nsid w:val="47FE2110"/>
    <w:multiLevelType w:val="multilevel"/>
    <w:tmpl w:val="261A3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1F851B6"/>
    <w:multiLevelType w:val="multilevel"/>
    <w:tmpl w:val="F5DEE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29D1A99"/>
    <w:multiLevelType w:val="multilevel"/>
    <w:tmpl w:val="2884A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33A1A1C"/>
    <w:multiLevelType w:val="hybridMultilevel"/>
    <w:tmpl w:val="4D7CE0B8"/>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5503117D"/>
    <w:multiLevelType w:val="multilevel"/>
    <w:tmpl w:val="2B408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ECD1952"/>
    <w:multiLevelType w:val="multilevel"/>
    <w:tmpl w:val="08C26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9A101E2"/>
    <w:multiLevelType w:val="multilevel"/>
    <w:tmpl w:val="CDA0F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DD14B7A"/>
    <w:multiLevelType w:val="multilevel"/>
    <w:tmpl w:val="7A92B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1E12559"/>
    <w:multiLevelType w:val="multilevel"/>
    <w:tmpl w:val="E2C40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5191AFA"/>
    <w:multiLevelType w:val="multilevel"/>
    <w:tmpl w:val="1E74B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6D17FAE"/>
    <w:multiLevelType w:val="hybridMultilevel"/>
    <w:tmpl w:val="27D8F590"/>
    <w:lvl w:ilvl="0" w:tplc="47D06330">
      <w:start w:val="1"/>
      <w:numFmt w:val="decimal"/>
      <w:pStyle w:val="Titre3"/>
      <w:lvlText w:val="%1."/>
      <w:lvlJc w:val="left"/>
      <w:pPr>
        <w:ind w:left="1380" w:hanging="360"/>
      </w:pPr>
    </w:lvl>
    <w:lvl w:ilvl="1" w:tplc="04090019" w:tentative="1">
      <w:start w:val="1"/>
      <w:numFmt w:val="lowerLetter"/>
      <w:lvlText w:val="%2."/>
      <w:lvlJc w:val="left"/>
      <w:pPr>
        <w:ind w:left="2100" w:hanging="360"/>
      </w:pPr>
    </w:lvl>
    <w:lvl w:ilvl="2" w:tplc="0409001B" w:tentative="1">
      <w:start w:val="1"/>
      <w:numFmt w:val="lowerRoman"/>
      <w:lvlText w:val="%3."/>
      <w:lvlJc w:val="right"/>
      <w:pPr>
        <w:ind w:left="2820" w:hanging="180"/>
      </w:pPr>
    </w:lvl>
    <w:lvl w:ilvl="3" w:tplc="0409000F" w:tentative="1">
      <w:start w:val="1"/>
      <w:numFmt w:val="decimal"/>
      <w:lvlText w:val="%4."/>
      <w:lvlJc w:val="left"/>
      <w:pPr>
        <w:ind w:left="3540" w:hanging="360"/>
      </w:pPr>
    </w:lvl>
    <w:lvl w:ilvl="4" w:tplc="04090019" w:tentative="1">
      <w:start w:val="1"/>
      <w:numFmt w:val="lowerLetter"/>
      <w:lvlText w:val="%5."/>
      <w:lvlJc w:val="left"/>
      <w:pPr>
        <w:ind w:left="4260" w:hanging="360"/>
      </w:pPr>
    </w:lvl>
    <w:lvl w:ilvl="5" w:tplc="0409001B" w:tentative="1">
      <w:start w:val="1"/>
      <w:numFmt w:val="lowerRoman"/>
      <w:lvlText w:val="%6."/>
      <w:lvlJc w:val="right"/>
      <w:pPr>
        <w:ind w:left="4980" w:hanging="180"/>
      </w:pPr>
    </w:lvl>
    <w:lvl w:ilvl="6" w:tplc="0409000F" w:tentative="1">
      <w:start w:val="1"/>
      <w:numFmt w:val="decimal"/>
      <w:lvlText w:val="%7."/>
      <w:lvlJc w:val="left"/>
      <w:pPr>
        <w:ind w:left="5700" w:hanging="360"/>
      </w:pPr>
    </w:lvl>
    <w:lvl w:ilvl="7" w:tplc="04090019" w:tentative="1">
      <w:start w:val="1"/>
      <w:numFmt w:val="lowerLetter"/>
      <w:lvlText w:val="%8."/>
      <w:lvlJc w:val="left"/>
      <w:pPr>
        <w:ind w:left="6420" w:hanging="360"/>
      </w:pPr>
    </w:lvl>
    <w:lvl w:ilvl="8" w:tplc="0409001B" w:tentative="1">
      <w:start w:val="1"/>
      <w:numFmt w:val="lowerRoman"/>
      <w:lvlText w:val="%9."/>
      <w:lvlJc w:val="right"/>
      <w:pPr>
        <w:ind w:left="7140" w:hanging="180"/>
      </w:pPr>
    </w:lvl>
  </w:abstractNum>
  <w:num w:numId="1" w16cid:durableId="1446537970">
    <w:abstractNumId w:val="17"/>
  </w:num>
  <w:num w:numId="2" w16cid:durableId="1512261128">
    <w:abstractNumId w:val="15"/>
  </w:num>
  <w:num w:numId="3" w16cid:durableId="974337785">
    <w:abstractNumId w:val="1"/>
  </w:num>
  <w:num w:numId="4" w16cid:durableId="1597136100">
    <w:abstractNumId w:val="10"/>
  </w:num>
  <w:num w:numId="5" w16cid:durableId="1685548590">
    <w:abstractNumId w:val="16"/>
  </w:num>
  <w:num w:numId="6" w16cid:durableId="275066940">
    <w:abstractNumId w:val="5"/>
  </w:num>
  <w:num w:numId="7" w16cid:durableId="1271278754">
    <w:abstractNumId w:val="13"/>
  </w:num>
  <w:num w:numId="8" w16cid:durableId="880480200">
    <w:abstractNumId w:val="23"/>
  </w:num>
  <w:num w:numId="9" w16cid:durableId="1594434055">
    <w:abstractNumId w:val="26"/>
  </w:num>
  <w:num w:numId="10" w16cid:durableId="1338843403">
    <w:abstractNumId w:val="20"/>
  </w:num>
  <w:num w:numId="11" w16cid:durableId="499082577">
    <w:abstractNumId w:val="1"/>
    <w:lvlOverride w:ilvl="0">
      <w:startOverride w:val="1"/>
    </w:lvlOverride>
  </w:num>
  <w:num w:numId="12" w16cid:durableId="243148378">
    <w:abstractNumId w:val="1"/>
    <w:lvlOverride w:ilvl="0">
      <w:startOverride w:val="1"/>
    </w:lvlOverride>
  </w:num>
  <w:num w:numId="13" w16cid:durableId="1587110379">
    <w:abstractNumId w:val="1"/>
    <w:lvlOverride w:ilvl="0">
      <w:startOverride w:val="1"/>
    </w:lvlOverride>
  </w:num>
  <w:num w:numId="14" w16cid:durableId="1362784258">
    <w:abstractNumId w:val="24"/>
  </w:num>
  <w:num w:numId="15" w16cid:durableId="747074242">
    <w:abstractNumId w:val="9"/>
  </w:num>
  <w:num w:numId="16" w16cid:durableId="2077900651">
    <w:abstractNumId w:val="0"/>
  </w:num>
  <w:num w:numId="17" w16cid:durableId="1556890665">
    <w:abstractNumId w:val="25"/>
  </w:num>
  <w:num w:numId="18" w16cid:durableId="1373841139">
    <w:abstractNumId w:val="6"/>
  </w:num>
  <w:num w:numId="19" w16cid:durableId="1083524559">
    <w:abstractNumId w:val="27"/>
  </w:num>
  <w:num w:numId="20" w16cid:durableId="206570101">
    <w:abstractNumId w:val="19"/>
  </w:num>
  <w:num w:numId="21" w16cid:durableId="2004160844">
    <w:abstractNumId w:val="22"/>
  </w:num>
  <w:num w:numId="22" w16cid:durableId="574323020">
    <w:abstractNumId w:val="3"/>
  </w:num>
  <w:num w:numId="23" w16cid:durableId="738090186">
    <w:abstractNumId w:val="11"/>
  </w:num>
  <w:num w:numId="24" w16cid:durableId="816537116">
    <w:abstractNumId w:val="4"/>
  </w:num>
  <w:num w:numId="25" w16cid:durableId="1145124757">
    <w:abstractNumId w:val="18"/>
  </w:num>
  <w:num w:numId="26" w16cid:durableId="1277063080">
    <w:abstractNumId w:val="2"/>
  </w:num>
  <w:num w:numId="27" w16cid:durableId="208496047">
    <w:abstractNumId w:val="1"/>
    <w:lvlOverride w:ilvl="0">
      <w:startOverride w:val="1"/>
    </w:lvlOverride>
  </w:num>
  <w:num w:numId="28" w16cid:durableId="763039025">
    <w:abstractNumId w:val="1"/>
    <w:lvlOverride w:ilvl="0">
      <w:startOverride w:val="1"/>
    </w:lvlOverride>
  </w:num>
  <w:num w:numId="29" w16cid:durableId="514272934">
    <w:abstractNumId w:val="1"/>
    <w:lvlOverride w:ilvl="0">
      <w:startOverride w:val="1"/>
    </w:lvlOverride>
  </w:num>
  <w:num w:numId="30" w16cid:durableId="914825873">
    <w:abstractNumId w:val="1"/>
    <w:lvlOverride w:ilvl="0">
      <w:startOverride w:val="1"/>
    </w:lvlOverride>
  </w:num>
  <w:num w:numId="31" w16cid:durableId="192228757">
    <w:abstractNumId w:val="1"/>
    <w:lvlOverride w:ilvl="0">
      <w:startOverride w:val="1"/>
    </w:lvlOverride>
  </w:num>
  <w:num w:numId="32" w16cid:durableId="970792870">
    <w:abstractNumId w:val="7"/>
  </w:num>
  <w:num w:numId="33" w16cid:durableId="698625132">
    <w:abstractNumId w:val="21"/>
  </w:num>
  <w:num w:numId="34" w16cid:durableId="380903621">
    <w:abstractNumId w:val="15"/>
    <w:lvlOverride w:ilvl="0">
      <w:startOverride w:val="1"/>
    </w:lvlOverride>
  </w:num>
  <w:num w:numId="35" w16cid:durableId="1824464950">
    <w:abstractNumId w:val="15"/>
    <w:lvlOverride w:ilvl="0">
      <w:startOverride w:val="1"/>
    </w:lvlOverride>
  </w:num>
  <w:num w:numId="36" w16cid:durableId="135802365">
    <w:abstractNumId w:val="15"/>
    <w:lvlOverride w:ilvl="0">
      <w:startOverride w:val="1"/>
    </w:lvlOverride>
  </w:num>
  <w:num w:numId="37" w16cid:durableId="306515471">
    <w:abstractNumId w:val="15"/>
    <w:lvlOverride w:ilvl="0">
      <w:startOverride w:val="1"/>
    </w:lvlOverride>
  </w:num>
  <w:num w:numId="38" w16cid:durableId="2091189897">
    <w:abstractNumId w:val="8"/>
  </w:num>
  <w:num w:numId="39" w16cid:durableId="2134322575">
    <w:abstractNumId w:val="15"/>
    <w:lvlOverride w:ilvl="0">
      <w:startOverride w:val="1"/>
    </w:lvlOverride>
  </w:num>
  <w:num w:numId="40" w16cid:durableId="1347635415">
    <w:abstractNumId w:val="12"/>
  </w:num>
  <w:num w:numId="41" w16cid:durableId="575242238">
    <w:abstractNumId w:val="14"/>
  </w:num>
  <w:num w:numId="42" w16cid:durableId="1046218656">
    <w:abstractNumId w:val="15"/>
    <w:lvlOverride w:ilvl="0">
      <w:startOverride w:val="1"/>
    </w:lvlOverride>
  </w:num>
  <w:num w:numId="43" w16cid:durableId="1210343659">
    <w:abstractNumId w:val="15"/>
    <w:lvlOverride w:ilvl="0">
      <w:startOverride w:val="1"/>
    </w:lvlOverride>
  </w:num>
  <w:num w:numId="44" w16cid:durableId="1736510579">
    <w:abstractNumId w:val="15"/>
    <w:lvlOverride w:ilvl="0">
      <w:startOverride w:val="1"/>
    </w:lvlOverride>
  </w:num>
  <w:num w:numId="45" w16cid:durableId="1493108460">
    <w:abstractNumId w:val="15"/>
    <w:lvlOverride w:ilvl="0">
      <w:startOverride w:val="1"/>
    </w:lvlOverride>
  </w:num>
  <w:num w:numId="46" w16cid:durableId="432089353">
    <w:abstractNumId w:val="15"/>
    <w:lvlOverride w:ilvl="0">
      <w:startOverride w:val="1"/>
    </w:lvlOverride>
  </w:num>
  <w:num w:numId="47" w16cid:durableId="1623999044">
    <w:abstractNumId w:val="28"/>
  </w:num>
  <w:num w:numId="48" w16cid:durableId="1262379066">
    <w:abstractNumId w:val="28"/>
    <w:lvlOverride w:ilvl="0">
      <w:startOverride w:val="1"/>
    </w:lvlOverride>
  </w:num>
  <w:num w:numId="49" w16cid:durableId="1400329247">
    <w:abstractNumId w:val="28"/>
    <w:lvlOverride w:ilvl="0">
      <w:startOverride w:val="1"/>
    </w:lvlOverride>
  </w:num>
  <w:num w:numId="50" w16cid:durableId="998465133">
    <w:abstractNumId w:val="28"/>
    <w:lvlOverride w:ilvl="0">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3774"/>
    <w:rsid w:val="00074CCE"/>
    <w:rsid w:val="00075E24"/>
    <w:rsid w:val="000C2B3F"/>
    <w:rsid w:val="000C3993"/>
    <w:rsid w:val="000C5F54"/>
    <w:rsid w:val="001525E5"/>
    <w:rsid w:val="00171B35"/>
    <w:rsid w:val="00177DBD"/>
    <w:rsid w:val="00185ED1"/>
    <w:rsid w:val="001E258E"/>
    <w:rsid w:val="001E58CB"/>
    <w:rsid w:val="00200B59"/>
    <w:rsid w:val="002020F9"/>
    <w:rsid w:val="002863E1"/>
    <w:rsid w:val="002E7C98"/>
    <w:rsid w:val="0030508E"/>
    <w:rsid w:val="00326184"/>
    <w:rsid w:val="00327FE1"/>
    <w:rsid w:val="0036727B"/>
    <w:rsid w:val="003B3B23"/>
    <w:rsid w:val="00452285"/>
    <w:rsid w:val="00474044"/>
    <w:rsid w:val="004C5E68"/>
    <w:rsid w:val="004D631E"/>
    <w:rsid w:val="004F7075"/>
    <w:rsid w:val="00552D7D"/>
    <w:rsid w:val="00563C2E"/>
    <w:rsid w:val="00566450"/>
    <w:rsid w:val="00566BDA"/>
    <w:rsid w:val="00593DBA"/>
    <w:rsid w:val="005941FD"/>
    <w:rsid w:val="005F0983"/>
    <w:rsid w:val="00611F4A"/>
    <w:rsid w:val="00624CAE"/>
    <w:rsid w:val="0062781F"/>
    <w:rsid w:val="00677448"/>
    <w:rsid w:val="006E2203"/>
    <w:rsid w:val="00780465"/>
    <w:rsid w:val="007A379E"/>
    <w:rsid w:val="00834AAF"/>
    <w:rsid w:val="00860B94"/>
    <w:rsid w:val="00863BF0"/>
    <w:rsid w:val="008C4FF4"/>
    <w:rsid w:val="008D272E"/>
    <w:rsid w:val="00910D5B"/>
    <w:rsid w:val="00913774"/>
    <w:rsid w:val="00937625"/>
    <w:rsid w:val="00983E0C"/>
    <w:rsid w:val="00984F19"/>
    <w:rsid w:val="009C26BE"/>
    <w:rsid w:val="009C59CA"/>
    <w:rsid w:val="009D1152"/>
    <w:rsid w:val="009D49E4"/>
    <w:rsid w:val="009F566F"/>
    <w:rsid w:val="00A13493"/>
    <w:rsid w:val="00A3330D"/>
    <w:rsid w:val="00A42BFF"/>
    <w:rsid w:val="00A7577F"/>
    <w:rsid w:val="00A87FD6"/>
    <w:rsid w:val="00A978B8"/>
    <w:rsid w:val="00AA4475"/>
    <w:rsid w:val="00AB5117"/>
    <w:rsid w:val="00AB5284"/>
    <w:rsid w:val="00AC4FFD"/>
    <w:rsid w:val="00AE1540"/>
    <w:rsid w:val="00B0501B"/>
    <w:rsid w:val="00B10D7C"/>
    <w:rsid w:val="00B10DE0"/>
    <w:rsid w:val="00B25AB9"/>
    <w:rsid w:val="00B312C5"/>
    <w:rsid w:val="00B34910"/>
    <w:rsid w:val="00B42117"/>
    <w:rsid w:val="00B5286C"/>
    <w:rsid w:val="00B630C8"/>
    <w:rsid w:val="00B75B22"/>
    <w:rsid w:val="00B8067C"/>
    <w:rsid w:val="00B81391"/>
    <w:rsid w:val="00BB45E2"/>
    <w:rsid w:val="00BE7E41"/>
    <w:rsid w:val="00BF4DAF"/>
    <w:rsid w:val="00BF7C89"/>
    <w:rsid w:val="00C06AC8"/>
    <w:rsid w:val="00C10135"/>
    <w:rsid w:val="00C17D12"/>
    <w:rsid w:val="00C21566"/>
    <w:rsid w:val="00C44C02"/>
    <w:rsid w:val="00C83690"/>
    <w:rsid w:val="00C83889"/>
    <w:rsid w:val="00C86C18"/>
    <w:rsid w:val="00CC5221"/>
    <w:rsid w:val="00D07F51"/>
    <w:rsid w:val="00D1759E"/>
    <w:rsid w:val="00D208EF"/>
    <w:rsid w:val="00D40119"/>
    <w:rsid w:val="00D5574B"/>
    <w:rsid w:val="00D7312E"/>
    <w:rsid w:val="00D812F3"/>
    <w:rsid w:val="00DE3098"/>
    <w:rsid w:val="00DF09F1"/>
    <w:rsid w:val="00DF1CC4"/>
    <w:rsid w:val="00E43BF6"/>
    <w:rsid w:val="00E57CBB"/>
    <w:rsid w:val="00E6132B"/>
    <w:rsid w:val="00E678EF"/>
    <w:rsid w:val="00E96BE2"/>
    <w:rsid w:val="00EB02FF"/>
    <w:rsid w:val="00EB0768"/>
    <w:rsid w:val="00EC652C"/>
    <w:rsid w:val="00ED4021"/>
    <w:rsid w:val="00F22A0B"/>
    <w:rsid w:val="00F22EC4"/>
    <w:rsid w:val="00FD73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B96129"/>
  <w15:docId w15:val="{5F1A359A-B0CB-4050-8E93-E4F63E866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3B3B23"/>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552D7D"/>
    <w:pPr>
      <w:keepNext/>
      <w:keepLines/>
      <w:numPr>
        <w:numId w:val="4"/>
      </w:numPr>
      <w:shd w:val="clear" w:color="auto" w:fill="FFFFFF"/>
      <w:spacing w:after="0" w:line="900" w:lineRule="atLeast"/>
      <w:jc w:val="left"/>
      <w:textAlignment w:val="baseline"/>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AA4475"/>
    <w:pPr>
      <w:keepNext/>
      <w:keepLines/>
      <w:numPr>
        <w:numId w:val="1"/>
      </w:numPr>
      <w:spacing w:after="0" w:line="600" w:lineRule="atLeast"/>
      <w:ind w:left="714" w:hanging="357"/>
      <w:contextualSpacing/>
      <w:textAlignment w:val="baseline"/>
      <w:outlineLvl w:val="1"/>
    </w:pPr>
    <w:rPr>
      <w:rFonts w:eastAsiaTheme="majorEastAsia"/>
      <w:b/>
      <w:color w:val="FFFFFF" w:themeColor="background1"/>
      <w:sz w:val="48"/>
      <w:szCs w:val="26"/>
      <w:bdr w:val="none" w:sz="0" w:space="0" w:color="auto" w:frame="1"/>
    </w:rPr>
  </w:style>
  <w:style w:type="paragraph" w:styleId="Titre3">
    <w:name w:val="heading 3"/>
    <w:aliases w:val="Titre 3 CGPC"/>
    <w:basedOn w:val="CGPC-elearning"/>
    <w:next w:val="Normal"/>
    <w:link w:val="Titre3Car"/>
    <w:autoRedefine/>
    <w:uiPriority w:val="9"/>
    <w:unhideWhenUsed/>
    <w:qFormat/>
    <w:rsid w:val="00B312C5"/>
    <w:pPr>
      <w:keepNext/>
      <w:keepLines/>
      <w:numPr>
        <w:numId w:val="47"/>
      </w:numPr>
      <w:shd w:val="clear" w:color="auto" w:fill="FFFFFF"/>
      <w:spacing w:before="240" w:after="240" w:line="240" w:lineRule="auto"/>
      <w:textAlignment w:val="baseline"/>
      <w:outlineLvl w:val="2"/>
    </w:pPr>
    <w:rPr>
      <w:rFonts w:eastAsia="Times New Roman"/>
      <w:b/>
      <w:color w:val="3A5D9C"/>
      <w:sz w:val="40"/>
      <w:szCs w:val="30"/>
      <w:bdr w:val="none" w:sz="0" w:space="0" w:color="auto" w:frame="1"/>
      <w:lang w:eastAsia="fr-FR"/>
    </w:rPr>
  </w:style>
  <w:style w:type="paragraph" w:styleId="Titre4">
    <w:name w:val="heading 4"/>
    <w:aliases w:val="Titre 4 CGPC"/>
    <w:basedOn w:val="CGPC-elearning"/>
    <w:next w:val="Normal"/>
    <w:link w:val="Titre4Car"/>
    <w:autoRedefine/>
    <w:uiPriority w:val="9"/>
    <w:unhideWhenUsed/>
    <w:qFormat/>
    <w:rsid w:val="003B3B23"/>
    <w:pPr>
      <w:keepNext/>
      <w:keepLines/>
      <w:numPr>
        <w:numId w:val="2"/>
      </w:numPr>
      <w:spacing w:before="280" w:after="240"/>
      <w:outlineLvl w:val="3"/>
    </w:pPr>
    <w:rPr>
      <w:rFonts w:eastAsiaTheme="majorEastAsia" w:cstheme="majorBidi"/>
      <w:b/>
      <w:iCs/>
      <w:color w:val="2F5496" w:themeColor="accent1" w:themeShade="BF"/>
      <w:sz w:val="36"/>
      <w:szCs w:val="24"/>
      <w:bdr w:val="none" w:sz="0" w:space="0" w:color="auto" w:frame="1"/>
    </w:rPr>
  </w:style>
  <w:style w:type="paragraph" w:styleId="Titre5">
    <w:name w:val="heading 5"/>
    <w:aliases w:val="Titre 5 CGPC"/>
    <w:basedOn w:val="CGPC-elearning"/>
    <w:next w:val="Normal"/>
    <w:link w:val="Titre5Car"/>
    <w:autoRedefine/>
    <w:uiPriority w:val="9"/>
    <w:unhideWhenUsed/>
    <w:qFormat/>
    <w:rsid w:val="00D7312E"/>
    <w:pPr>
      <w:keepNext/>
      <w:keepLines/>
      <w:tabs>
        <w:tab w:val="num" w:pos="720"/>
      </w:tabs>
      <w:spacing w:before="400" w:after="360"/>
      <w:ind w:left="1080" w:hanging="360"/>
      <w:outlineLvl w:val="4"/>
    </w:pPr>
    <w:rPr>
      <w:rFonts w:eastAsia="Times New Roman" w:cstheme="majorBidi"/>
      <w:b/>
      <w:i/>
      <w:color w:val="2F5496" w:themeColor="accent1" w:themeShade="BF"/>
      <w:bdr w:val="none" w:sz="0" w:space="0" w:color="auto" w:frame="1"/>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AA4475"/>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552D7D"/>
    <w:rPr>
      <w:rFonts w:ascii="Open Sans" w:eastAsiaTheme="majorEastAsia" w:hAnsi="Open Sans" w:cstheme="majorBidi"/>
      <w:b/>
      <w:kern w:val="0"/>
      <w:sz w:val="60"/>
      <w:szCs w:val="32"/>
      <w:shd w:val="clear" w:color="auto" w:fill="FFFFFF"/>
      <w14:ligatures w14:val="none"/>
    </w:rPr>
  </w:style>
  <w:style w:type="paragraph" w:customStyle="1" w:styleId="CGPC-elearning">
    <w:name w:val="CGPC-elearning"/>
    <w:basedOn w:val="Normal"/>
    <w:link w:val="CGPC-elearningCar"/>
    <w:autoRedefine/>
    <w:qFormat/>
    <w:rsid w:val="009F566F"/>
    <w:pPr>
      <w:jc w:val="left"/>
    </w:pPr>
    <w:rPr>
      <w:rFonts w:cs="Open Sans"/>
      <w:bCs/>
      <w:kern w:val="2"/>
      <w:szCs w:val="36"/>
      <w14:ligatures w14:val="standardContextual"/>
    </w:rPr>
  </w:style>
  <w:style w:type="character" w:customStyle="1" w:styleId="CGPC-elearningCar">
    <w:name w:val="CGPC-elearning Car"/>
    <w:basedOn w:val="Policepardfaut"/>
    <w:link w:val="CGPC-elearning"/>
    <w:rsid w:val="009F566F"/>
    <w:rPr>
      <w:rFonts w:ascii="Open Sans" w:hAnsi="Open Sans" w:cs="Open Sans"/>
      <w:bCs/>
      <w:sz w:val="24"/>
      <w:szCs w:val="36"/>
    </w:rPr>
  </w:style>
  <w:style w:type="character" w:customStyle="1" w:styleId="Titre3Car">
    <w:name w:val="Titre 3 Car"/>
    <w:aliases w:val="Titre 3 CGPC Car"/>
    <w:basedOn w:val="Policepardfaut"/>
    <w:link w:val="Titre3"/>
    <w:uiPriority w:val="9"/>
    <w:rsid w:val="00B312C5"/>
    <w:rPr>
      <w:rFonts w:ascii="Open Sans" w:eastAsia="Times New Roman" w:hAnsi="Open Sans" w:cs="Open Sans"/>
      <w:b/>
      <w:bCs/>
      <w:color w:val="3A5D9C"/>
      <w:sz w:val="40"/>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3B3B23"/>
    <w:rPr>
      <w:rFonts w:ascii="Open Sans" w:eastAsiaTheme="majorEastAsia" w:hAnsi="Open Sans" w:cstheme="majorBidi"/>
      <w:b/>
      <w:bCs/>
      <w:iCs/>
      <w:color w:val="2F5496" w:themeColor="accent1" w:themeShade="BF"/>
      <w:sz w:val="36"/>
      <w:szCs w:val="24"/>
      <w:bdr w:val="none" w:sz="0" w:space="0" w:color="auto" w:frame="1"/>
    </w:rPr>
  </w:style>
  <w:style w:type="character" w:customStyle="1" w:styleId="Titre5Car">
    <w:name w:val="Titre 5 Car"/>
    <w:aliases w:val="Titre 5 CGPC Car"/>
    <w:basedOn w:val="Policepardfaut"/>
    <w:link w:val="Titre5"/>
    <w:uiPriority w:val="9"/>
    <w:rsid w:val="00D7312E"/>
    <w:rPr>
      <w:rFonts w:ascii="Open Sans" w:eastAsia="Times New Roman" w:hAnsi="Open Sans" w:cstheme="majorBidi"/>
      <w:b/>
      <w:bCs/>
      <w:i/>
      <w:color w:val="2F5496" w:themeColor="accent1" w:themeShade="BF"/>
      <w:sz w:val="28"/>
      <w:szCs w:val="36"/>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Textedebulles">
    <w:name w:val="Balloon Text"/>
    <w:basedOn w:val="Normal"/>
    <w:link w:val="TextedebullesCar"/>
    <w:uiPriority w:val="99"/>
    <w:semiHidden/>
    <w:unhideWhenUsed/>
    <w:rsid w:val="00983E0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983E0C"/>
    <w:rPr>
      <w:rFonts w:ascii="Tahoma" w:hAnsi="Tahoma" w:cs="Tahoma"/>
      <w:kern w:val="0"/>
      <w:sz w:val="16"/>
      <w:szCs w:val="16"/>
      <w14:ligatures w14:val="none"/>
    </w:rPr>
  </w:style>
  <w:style w:type="paragraph" w:styleId="TM4">
    <w:name w:val="toc 4"/>
    <w:basedOn w:val="Normal"/>
    <w:next w:val="Normal"/>
    <w:autoRedefine/>
    <w:uiPriority w:val="39"/>
    <w:unhideWhenUsed/>
    <w:rsid w:val="00AE1540"/>
    <w:pPr>
      <w:spacing w:after="100"/>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jpe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hyperlink" Target="https://www.legifrance.gouv.fr/affichCodeArticle.do?cidTexte=LEGITEXT000006073984&amp;idArticle=LEGIARTI000006793015&amp;dateTexte=&amp;categorieLien=cid" TargetMode="Externa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jpeg"/><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6.jpe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ADC95D0-9074-4D38-BC04-8AE01C9D3FAE}"/>
</file>

<file path=customXml/itemProps2.xml><?xml version="1.0" encoding="utf-8"?>
<ds:datastoreItem xmlns:ds="http://schemas.openxmlformats.org/officeDocument/2006/customXml" ds:itemID="{34EFBAB2-C5EA-4F5F-8052-A86D1D2FD061}">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3.xml><?xml version="1.0" encoding="utf-8"?>
<ds:datastoreItem xmlns:ds="http://schemas.openxmlformats.org/officeDocument/2006/customXml" ds:itemID="{63FA0125-CF6D-4E3F-8052-3DE2849F55EA}">
  <ds:schemaRefs>
    <ds:schemaRef ds:uri="http://schemas.openxmlformats.org/officeDocument/2006/bibliography"/>
  </ds:schemaRefs>
</ds:datastoreItem>
</file>

<file path=customXml/itemProps4.xml><?xml version="1.0" encoding="utf-8"?>
<ds:datastoreItem xmlns:ds="http://schemas.openxmlformats.org/officeDocument/2006/customXml" ds:itemID="{5399069B-3182-434B-B30E-2C5A7186825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27</Pages>
  <Words>4978</Words>
  <Characters>27380</Characters>
  <Application>Microsoft Office Word</Application>
  <DocSecurity>0</DocSecurity>
  <Lines>228</Lines>
  <Paragraphs>64</Paragraphs>
  <ScaleCrop>false</ScaleCrop>
  <HeadingPairs>
    <vt:vector size="2" baseType="variant">
      <vt:variant>
        <vt:lpstr>Titre</vt:lpstr>
      </vt:variant>
      <vt:variant>
        <vt:i4>1</vt:i4>
      </vt:variant>
    </vt:vector>
  </HeadingPairs>
  <TitlesOfParts>
    <vt:vector size="1" baseType="lpstr">
      <vt:lpstr>Chapitre 4 : De la protection du partenaire pacsé</vt:lpstr>
    </vt:vector>
  </TitlesOfParts>
  <Company>CGPC - membre DU FPSB</Company>
  <LinksUpToDate>false</LinksUpToDate>
  <CharactersWithSpaces>32294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5 :  Régimes matrimoniaux et gestion du patrimoine</dc:title>
  <dc:subject>De la protection du partenaire pacsé</dc:subject>
  <dc:creator>Renaud Duval</dc:creator>
  <cp:lastModifiedBy>Raymond Leban</cp:lastModifiedBy>
  <cp:revision>34</cp:revision>
  <cp:lastPrinted>2024-12-19T13:37:00Z</cp:lastPrinted>
  <dcterms:created xsi:type="dcterms:W3CDTF">2024-03-03T13:38:00Z</dcterms:created>
  <dcterms:modified xsi:type="dcterms:W3CDTF">2026-01-30T15:13:00Z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